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KWKG 2016 — Zuschlagzahlungen für Kältenetze</w:t>
      </w:r>
    </w:p>
    <w:p>
      <w:r>
        <w:rPr>
          <w:color w:val="555555"/>
          <w:sz w:val="18"/>
        </w:rPr>
        <w:t xml:space="preserve">Kraft-Wärme-Kopplungsgesetz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18, 19 und 20 sind für den Neu- und Ausbau von Kältenetzen entsprechend anzuwenden.</w:t>
      </w:r>
    </w:p>
    <w:p>
      <w:r>
        <w:rPr>
          <w:color w:val="555555"/>
          <w:sz w:val="17"/>
        </w:rPr>
        <w:t xml:space="preserve">Zitiervorschlag: § 21 KWKG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https://recht.nulegal.eu/gesetze/KWKG%202016/21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