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KWKG 2016 — Übermittlung von Daten an das Statistische Bundesamt</w:t>
      </w:r>
    </w:p>
    <w:p>
      <w:r>
        <w:rPr>
          <w:color w:val="555555"/>
          <w:sz w:val="18"/>
        </w:rPr>
        <w:t xml:space="preserve">Kraft-Wärme-Kopplungsgesetz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(1) Das Bundesamt für Wirtschaft und Ausfuhrkontrolle übermittelt jährlich die folgenden Daten an das Statistische Bundesamt:</w:t>
      </w:r>
    </w:p>
    <w:p>
      <w:pPr>
        <w:ind w:left="420"/>
      </w:pPr>
      <w:r>
        <w:t xml:space="preserve">1. die nach § 10 Absatz 2 Satz 1 Nummer 1 bis 4 anfallenden Daten der KWK-Anlagen,</w:t>
      </w:r>
    </w:p>
    <w:p>
      <w:pPr>
        <w:ind w:left="420"/>
      </w:pPr>
      <w:r>
        <w:t xml:space="preserve">2. die Angaben zur KWK-Nettostromerzeugung,</w:t>
      </w:r>
    </w:p>
    <w:p>
      <w:pPr>
        <w:ind w:left="420"/>
      </w:pPr>
      <w:r>
        <w:t xml:space="preserve">3. die Angaben zur KWK-Nutzwärmeerzeugung,</w:t>
      </w:r>
    </w:p>
    <w:p>
      <w:pPr>
        <w:ind w:left="420"/>
      </w:pPr>
      <w:r>
        <w:t xml:space="preserve">4. die Angaben zur erzeugten KWK-Strommenge,</w:t>
      </w:r>
    </w:p>
    <w:p>
      <w:pPr>
        <w:ind w:left="420"/>
      </w:pPr>
      <w:r>
        <w:t xml:space="preserve">5. die Angaben zu Brennstoffart und Brennstoffeinsatz.</w:t>
      </w:r>
    </w:p>
    <w:p>
      <w:r>
        <w:t xml:space="preserve">(2) Bei der Übermittlung der Daten nach Absatz 1 sind die Regelungen zur Geheimhaltung gemäß § 16 des Bundesstatistikgesetzes in der jeweils geltenden Fassung anzuwenden.</w:t>
      </w:r>
    </w:p>
    <w:p>
      <w:r>
        <w:rPr>
          <w:color w:val="555555"/>
          <w:sz w:val="17"/>
        </w:rPr>
        <w:t xml:space="preserve">Zitiervorschlag: § 17 KWKG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https://recht.nulegal.eu/gesetze/KWKG%202016/17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