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KWKG 2016 — Maßnahmen des Bundesamtes für Wirtschaft und Ausfuhrkontrolle zur Überprüfung</w:t>
      </w:r>
    </w:p>
    <w:p>
      <w:r>
        <w:rPr>
          <w:color w:val="555555"/>
          <w:sz w:val="18"/>
        </w:rPr>
        <w:t xml:space="preserve">Kraft-Wärme-Kopplungsgesetz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Bundesamt für Wirtschaft und Ausfuhrkontrolle kann Maßnahmen zur Überprüfung ergreifen, wenn sie begründete Zweifel hat an der Richtigkeit</w:t>
      </w:r>
    </w:p>
    <w:p>
      <w:pPr>
        <w:ind w:left="420"/>
      </w:pPr>
      <w:r>
        <w:t xml:space="preserve">1. der Mitteilung nach § 15 Absatz 1 Satz 1,</w:t>
      </w:r>
    </w:p>
    <w:p>
      <w:pPr>
        <w:ind w:left="420"/>
      </w:pPr>
      <w:r>
        <w:t xml:space="preserve">2. der Abrechnung nach § 15 Absatz 2 oder</w:t>
      </w:r>
    </w:p>
    <w:p>
      <w:pPr>
        <w:ind w:left="420"/>
      </w:pPr>
      <w:r>
        <w:t xml:space="preserve">3. der Angaben nach § 15 Absatz 3.</w:t>
      </w:r>
    </w:p>
    <w:p>
      <w:r>
        <w:t xml:space="preserve">(2) § 11 Absatz 1 ist entsprechend anzuwenden.</w:t>
      </w:r>
    </w:p>
    <w:p>
      <w:r>
        <w:rPr>
          <w:color w:val="555555"/>
          <w:sz w:val="17"/>
        </w:rPr>
        <w:t xml:space="preserve">Zitiervorschlag: § 16 KWKG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https://recht.nulegal.eu/gesetze/KWKG%202016/16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