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13b KWKG 2016 — Rückforderung</w:t>
      </w:r>
    </w:p>
    <w:p>
      <w:r>
        <w:rPr>
          <w:color w:val="555555"/>
          <w:sz w:val="18"/>
        </w:rPr>
        <w:t xml:space="preserve">Kraft-Wärme-Kopplungsgesetz</w:t>
      </w:r>
    </w:p>
    <w:p>
      <w:r>
        <w:rPr>
          <w:color w:val="555555"/>
          <w:sz w:val="18"/>
        </w:rPr>
        <w:t xml:space="preserve">Stand: 01.01.2023 (konsolidierte Textfassung, kein amtliches Inkrafttretensdatum)</w:t>
      </w:r>
    </w:p>
    <w:p>
      <w:r>
        <w:t xml:space="preserve">Zahlt ein Netzbetreiber einem Anlagenbetreiber mehr als nach diesem Gesetz vorgeschrieben, muss er den Mehrbetrag zurückfordern. Ist die Zahlung in Übereinstimmung mit dem Ergebnis eines Verfahrens der Clearingstelle nach § 32a Absatz 5 erfolgt und beruht die Rückforderung auf der Anwendung einer nach der Zahlung in anderer Sache ergangenen höchstrichterlichen Entscheidung, ist der Anlagenbetreiber berechtigt, insoweit die Einrede der Übereinstimmung der Berechnung der Zahlung mit einer Entscheidung der Clearingstelle für Zahlungen zu erheben, die bis zum Tag der höchstrichterlichen Entscheidung geleistet worden sind. Der Rückforderungsanspruch verjährt mit Ablauf des zweiten auf die Einspeisung folgenden Kalenderjahres; die Pflicht nach Satz 1 erlischt insoweit.</w:t>
      </w:r>
    </w:p>
    <w:p>
      <w:r>
        <w:rPr>
          <w:color w:val="555555"/>
          <w:sz w:val="17"/>
        </w:rPr>
        <w:t xml:space="preserve">Zitiervorschlag: § 13b KWKG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https://recht.nulegal.eu/gesetze/KWKG%202016/13b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