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13a KWKG 2016 — Registrierung von KWK-Anlagen</w:t>
      </w:r>
    </w:p>
    <w:p>
      <w:r>
        <w:rPr>
          <w:color w:val="555555"/>
          <w:sz w:val="18"/>
        </w:rPr>
        <w:t xml:space="preserve">Kraft-Wärme-Kopplungsgesetz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Höhe der Zuschlagzahlung nach diesem Abschnitt verringert sich um 20 Prozent, solange Anlagenbetreiber die zur Registrierung der Anlage erforderlichen Angaben nicht nach Maßgabe der Rechtsverordnung nach § 111f des Energiewirtschaftsgesetzes übermittelt haben.</w:t>
      </w:r>
    </w:p>
    <w:p>
      <w:r>
        <w:rPr>
          <w:color w:val="555555"/>
          <w:sz w:val="17"/>
        </w:rPr>
        <w:t xml:space="preserve">Zitiervorschlag: § 13a KWKG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https://recht.nulegal.eu/gesetze/KWKG%202016/13a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