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KWKG 2016 — Vorbescheid für neue KWK-Anlagen mit einer elektrischen Leistung von mehr als 50 Megawatt</w:t>
      </w:r>
    </w:p>
    <w:p>
      <w:r>
        <w:rPr>
          <w:color w:val="555555"/>
          <w:sz w:val="18"/>
        </w:rPr>
        <w:t xml:space="preserve">Kraft-Wärme-Kopplungsgesetz</w:t>
      </w:r>
    </w:p>
    <w:p>
      <w:r>
        <w:rPr>
          <w:color w:val="555555"/>
          <w:sz w:val="18"/>
        </w:rPr>
        <w:t xml:space="preserve">Stand: 23.12.2025 (konsolidierte Textfassung, kein amtliches Inkrafttretensdatum)</w:t>
      </w:r>
    </w:p>
    <w:p>
      <w:r>
        <w:t xml:space="preserve">(1) Auf Antrag entscheidet das Bundesamt für Wirtschaft und Ausfuhrkontrolle vor Inbetriebnahme von neuen KWK-Anlagen im Sinn des § 5 Absatz 1 Nummer 1 mit einer elektrischen KWK-Leistung von mehr als 10 Megawatt über die Frage der Zuschlagberechtigung durch schriftlichen oder elektronischen Vorbescheid. Die Bindungswirkung des Vorbescheides umfasst Höhe und Dauer der Zuschlagzahlung ab Aufnahme des Dauerbetriebs der Anlage gemäß der zum Zeitpunkt der Stellung des Antrags auf den Vorbescheid geltenden Fassung dieses Gesetzes, soweit die Voraussetzungen nach § 6 Absatz 1 Nummer 1 bis 5 sowie in den Fällen der §§ 7a bis 7c deren Voraussetzungen im Rahmen der Zulassung bestätigt werden und bis zum 31. Dezember 2026 eine verbindliche Bestellung der KWK-Anlage oder im Fall einer Modernisierung eine verbindliche Bestellung der wesentlichen die Effizienz bestimmenden Anlagenteile im Sinn des § 2 Nummer 18 erfolgt ist oder für das Vorhaben bis zum 31. Dezember 2026 eine Genehmigung nach dem Bundes-Immissionsschutzgesetz in der jeweils geltenden Fassung vorgelegen hat.</w:t>
      </w:r>
    </w:p>
    <w:p>
      <w:r>
        <w:t xml:space="preserve">(2) Der Antrag muss die nach § 6 Absatz 1 Nummer 1 bis 4 und § 10 Absatz 2 Satz 1 erforderlichen Angaben auf Grundlage der Planungen für die KWK-Anlage zum Zeitpunkt der Antragstellung enthalten.</w:t>
      </w:r>
    </w:p>
    <w:p>
      <w:r>
        <w:t xml:space="preserve">(3) Der Antrag muss vor Baubeginn der Anlage elektronisch über das vom Bundesamt für Wirtschaft und Ausfuhrkontrolle eingerichtete Portal gestellt werden.</w:t>
      </w:r>
    </w:p>
    <w:p>
      <w:r>
        <w:t xml:space="preserve">(4) Der Vorbescheid erlischt, wenn der Antragsteller</w:t>
      </w:r>
    </w:p>
    <w:p>
      <w:pPr>
        <w:ind w:left="420"/>
      </w:pPr>
      <w:r>
        <w:t xml:space="preserve">1. nicht innerhalb eines Jahres nach Eintritt der Unanfechtbarkeit des Vorbescheides mit dem Bau der Anlage beginnt und</w:t>
      </w:r>
    </w:p>
    <w:p>
      <w:pPr>
        <w:ind w:left="420"/>
      </w:pPr>
      <w:r>
        <w:t xml:space="preserve">2. nicht innerhalb von drei Jahren ab Baubeginn die Anlage in Dauerbetrieb genommen hat. Die Frist zur Inbetriebnahme der Anlage kann auf Antrag bei dem Bundesamt für Wirtschaft und Ausfuhrkontrolle innerhalb der ab Baubeginn laufenden Frist von drei Jahren einmalig um bis zu einem Jahr verlängert werden.</w:t>
      </w:r>
    </w:p>
    <w:p>
      <w:r>
        <w:t xml:space="preserve">(5) Die Absätze 1 bis 4 sind entsprechend anzuwenden für</w:t>
      </w:r>
    </w:p>
    <w:p>
      <w:pPr>
        <w:ind w:left="420"/>
      </w:pPr>
      <w:r>
        <w:t xml:space="preserve">1. die geplante Modernisierung von KWK-Anlagen mit einer elektrischen KWK-Leistung von mehr als 50 Megawatt und</w:t>
      </w:r>
    </w:p>
    <w:p>
      <w:pPr>
        <w:ind w:left="420"/>
      </w:pPr>
      <w:r>
        <w:t xml:space="preserve">2. die geplante Nachrüstung von KWK-Anlagen mit einer elektrischen KWK-Leistung von mehr als 10 Megawatt.</w:t>
      </w:r>
    </w:p>
    <w:p>
      <w:r>
        <w:rPr>
          <w:color w:val="555555"/>
          <w:sz w:val="17"/>
        </w:rPr>
        <w:t xml:space="preserve">Zitiervorschlag: § 12 KWKG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https://recht.nulegal.eu/gesetze/KWKG%202016/12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