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KWKAusV — Rücknahme und Bindungswirkung von Geboten</w:t>
      </w:r>
    </w:p>
    <w:p>
      <w:r>
        <w:rPr>
          <w:color w:val="555555"/>
          <w:sz w:val="18"/>
        </w:rPr>
        <w:t xml:space="preserve">KWK-Ausschreibungsverordnung</w:t>
      </w:r>
    </w:p>
    <w:p>
      <w:r>
        <w:rPr>
          <w:color w:val="555555"/>
          <w:sz w:val="18"/>
        </w:rPr>
        <w:t xml:space="preserve">Stand: 17.05.2024 (konsolidierte Textfassung, kein amtliches Inkrafttretensdatum)</w:t>
      </w:r>
    </w:p>
    <w:p>
      <w:r>
        <w:t xml:space="preserve">(1) Die Rücknahme von Geboten ist bis zum jeweiligen Gebotstermin zulässig; maßgeblich ist der Zugang einer Rücknahmeerklärung bei der ausschreibenden Stelle. Die Rücknahme muss durch eine unbedingte, unbefristete und schriftlich oder elektronisch übermittelte Erklärung des Bieters erfolgen, die sich dem Gebot eindeutig zuordnen lässt.</w:t>
      </w:r>
    </w:p>
    <w:p>
      <w:r>
        <w:t xml:space="preserve">(2) Bieter sind an ihre Gebote, die bis zum Gebotstermin abgegeben und nicht zurückgenommen worden sind, gebunden, bis ihnen von der ausschreibenden Stelle mitgeteilt worden ist, dass ihr Gebot keinen Zuschlag erhalten hat.</w:t>
      </w:r>
    </w:p>
    <w:p>
      <w:r>
        <w:rPr>
          <w:color w:val="555555"/>
          <w:sz w:val="17"/>
        </w:rPr>
        <w:t xml:space="preserve">Zitiervorschlag: § 9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