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KWKAusV — Höchstwert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Höchstwert in den Ausschreibungen beträgt für</w:t>
      </w:r>
    </w:p>
    <w:p>
      <w:pPr>
        <w:ind w:left="420"/>
      </w:pPr>
      <w:r>
        <w:t xml:space="preserve">1. KWK-Anlagen 7,0 Cent pro Kilowattstunde KWK-Strom und</w:t>
      </w:r>
    </w:p>
    <w:p>
      <w:pPr>
        <w:ind w:left="420"/>
      </w:pPr>
      <w:r>
        <w:t xml:space="preserve">2. innovative KWK-Systeme 12,0 Cent pro Kilowattstunde KWK-Strom.</w:t>
      </w:r>
    </w:p>
    <w:p>
      <w:r>
        <w:rPr>
          <w:color w:val="555555"/>
          <w:sz w:val="17"/>
        </w:rPr>
        <w:t xml:space="preserve">Zitiervorschlag: § 5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