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KWKAusV — Übergangsbestimmungen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22.03.2023 (konsolidierte Textfassung, kein amtliches Inkrafttretensdatum)</w:t>
      </w:r>
    </w:p>
    <w:p>
      <w:r>
        <w:t xml:space="preserve">Für nicht erloschene Zuschläge, die in den Ausschreibungen vor dem 1. März 2020 erteilt wurden, verlängern sich die Fristen in § 18 Absatz 1 und § 21 Absatz 1 und 2 Satz 1 um einen Zeitraum von jeweils sechs Kalendermonaten.</w:t>
      </w:r>
    </w:p>
    <w:p>
      <w:r>
        <w:rPr>
          <w:color w:val="555555"/>
          <w:sz w:val="17"/>
        </w:rPr>
        <w:t xml:space="preserve">Zitiervorschlag: § 29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