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KWKAusV — Evaluierung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Bundesministerium für Wirtschaft und Klimaschutz stellt im Jahr 2022 im Rahmen der Evaluierung nach § 34 Absatz 2 des Kraft-Wärme-Kopplungsgesetzes den Stand der Dekarbonisierung der Wärmenetze fest und prüft im Rahmen der Ausschreibungen für innovative KWK-Systeme geeignete Maßnahmen zur stärkeren Einbeziehung der Biomasse zur Optimierung von Systemen mit größeren Anteilen erneuerbarer Wärme, um eine weitergehende Dekarbonisierung zu erzielen.</w:t>
      </w:r>
    </w:p>
    <w:p>
      <w:r>
        <w:t xml:space="preserve">(2) Ergibt eine Evaluierung nach § 34 Absatz 2 Satz 1 des Kraft-Wärme-Kopplungsgesetzes, dass die Erreichung der Ziele des § 1 Absatz 1 des Kraft-Wärme-Kopplungsgesetzes nicht gesichert erscheint, soll die ausschreibende Stelle das Ausschreibungsvolumen in dem erforderlichen Umfang, höchstens um 100 Megawatt pro Kalenderjahr, erhöhen.</w:t>
      </w:r>
    </w:p>
    <w:p>
      <w:r>
        <w:rPr>
          <w:color w:val="555555"/>
          <w:sz w:val="17"/>
        </w:rPr>
        <w:t xml:space="preserve">Zitiervorschlag: § 28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