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KWKAusV — Geöffnete ausländische Ausschreibungen</w:t>
      </w:r>
    </w:p>
    <w:p>
      <w:r>
        <w:rPr>
          <w:color w:val="555555"/>
          <w:sz w:val="18"/>
        </w:rPr>
        <w:t xml:space="preserve">KWK-Ausschreibungsverordnung</w:t>
      </w:r>
    </w:p>
    <w:p>
      <w:r>
        <w:rPr>
          <w:color w:val="555555"/>
          <w:sz w:val="18"/>
        </w:rPr>
        <w:t xml:space="preserve">Stand: 10.06.2019 (konsolidierte Textfassung, kein amtliches Inkrafttretensdatum)</w:t>
      </w:r>
    </w:p>
    <w:p>
      <w:r>
        <w:t xml:space="preserve">Für Strom aus KWK-Anlagen im Bundesgebiet darf eine Zahlung nach dem geöffneten Fördersystem eines Kooperationsstaats nur in Anspruch genommen werden, wenn der Zahlungsanspruch durch Zuschlag in einer gemeinsamen grenzüberschreitenden oder geöffneten ausländischen Ausschreibung erteilt worden ist, die nach § 27 völkerrechtlich mit der Bundesrepublik Deutschland vereinbart worden ist. Die Zahlung darf nur nach Maßgabe der völkerrechtlichen Vereinbarung erfolgen.</w:t>
      </w:r>
    </w:p>
    <w:p>
      <w:r>
        <w:rPr>
          <w:color w:val="555555"/>
          <w:sz w:val="17"/>
        </w:rPr>
        <w:t xml:space="preserve">Zitiervorschlag: § 25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