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KWKAusV — Pönalen</w:t>
      </w:r>
    </w:p>
    <w:p>
      <w:r>
        <w:rPr>
          <w:color w:val="555555"/>
          <w:sz w:val="18"/>
        </w:rPr>
        <w:t xml:space="preserve">KWK-Ausschreibungsverordnung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Bieter müssen an den Übertragungsnetzbetreiber eine Pönale leisten, wenn</w:t>
      </w:r>
    </w:p>
    <w:p>
      <w:pPr>
        <w:ind w:left="420"/>
      </w:pPr>
      <w:r>
        <w:t xml:space="preserve">1. mehr als 10 Prozent der Gebotsmenge eines bezuschlagten Gebots vor oder mit der Zulassung der KWK-Anlage oder des innovativen KWK-Systems nach § 16 entwertet werden,</w:t>
      </w:r>
    </w:p>
    <w:p>
      <w:pPr>
        <w:ind w:left="420"/>
      </w:pPr>
      <w:r>
        <w:t xml:space="preserve">2. die KWK-Anlage oder das innovative KWK-System mehr als 48 Monate nach der Bekanntgabe des Zuschlags nach § 15 Absatz 2 den Dauerbetrieb aufgenommen oder im Fall einer Modernisierung wiederaufgenommen hat,</w:t>
      </w:r>
    </w:p>
    <w:p>
      <w:pPr>
        <w:ind w:left="420"/>
      </w:pPr>
      <w:r>
        <w:t xml:space="preserve">3. der Bieter seine jährliche Mitteilungspflicht nach § 20 Absatz 1 verletzt hat oder</w:t>
      </w:r>
    </w:p>
    <w:p>
      <w:pPr>
        <w:ind w:left="420"/>
      </w:pPr>
      <w:r>
        <w:t xml:space="preserve">4. der Bieter nach § 13 Nummer 1 von dem Zuschlagsverfahren ausgeschlossen worden ist.</w:t>
      </w:r>
    </w:p>
    <w:p>
      <w:r>
        <w:t xml:space="preserve">(2) Die Höhe der Pönale nach Absatz 1 Nummer 1 und 2 berechnet sich aus der Gebotsmenge des bezuschlagten Gebots</w:t>
      </w:r>
    </w:p>
    <w:p>
      <w:pPr>
        <w:ind w:left="420"/>
      </w:pPr>
      <w:r>
        <w:t xml:space="preserve">1. abzüglich der vor Ablauf des 48. auf die Bekanntgabe des Zuschlags nach § 15 Absatz 2 folgenden Monats in Dauerbetrieb genommenen elektrischen KWK-Leistung multipliziert mit 18 Euro pro Kilowatt,</w:t>
      </w:r>
    </w:p>
    <w:p>
      <w:pPr>
        <w:ind w:left="420"/>
      </w:pPr>
      <w:r>
        <w:t xml:space="preserve">2. abzüglich der vor Ablauf des 50. auf die Bekanntgabe des Zuschlags nach § 15 Absatz 2 folgenden Monats in Dauerbetrieb genommenen elektrischen KWK-Leistung multipliziert mit 34 Euro pro Kilowatt,</w:t>
      </w:r>
    </w:p>
    <w:p>
      <w:pPr>
        <w:ind w:left="420"/>
      </w:pPr>
      <w:r>
        <w:t xml:space="preserve">3. abzüglich der vor Ablauf des 52. auf die Bekanntgabe des Zuschlags nach § 15 Absatz 2 folgenden Monats in Dauerbetrieb genommenen elektrischen KWK-Leistung multipliziert mit 50 Euro pro Kilowatt oder</w:t>
      </w:r>
    </w:p>
    <w:p>
      <w:pPr>
        <w:ind w:left="420"/>
      </w:pPr>
      <w:r>
        <w:t xml:space="preserve">4. abzüglich der vor Ablauf des 54. auf die Bekanntgabe des Zuschlags nach § 15 Absatz 2 folgenden Monats in Dauerbetrieb genommenen elektrischen KWK-Leistung multipliziert mit 66 Euro pro Kilowatt.</w:t>
      </w:r>
    </w:p>
    <w:p>
      <w:r>
        <w:t xml:space="preserve">Die Höhe der Pönale nach Absatz 1 Nummer 3 berechnet sich aus der Gebotsmenge des bezuschlagten Gebots multipliziert mit 1 Euro für jede nicht oder nicht rechtzeitig erfolgte Jahresmeldung. Die Höhe der Pönale nach Absatz 1 Nummer 4 berechnet sich aus der Gebotsmenge des bezuschlagten Gebots multipliziert mit 70 Euro pro Kilowatt elektrischer KWK-Leistung.</w:t>
      </w:r>
    </w:p>
    <w:p>
      <w:r>
        <w:t xml:space="preserve">(3) Die Forderung nach Absatz 1 muss durch Überweisung eines entsprechenden Geldbetrages auf ein Geldkonto des Übertragungsnetzbetreibers erfüllt werden. Dabei ist die Zuschlagsnummer des Gebots zu übermitteln, für das die Pönale geleistet wird.</w:t>
      </w:r>
    </w:p>
    <w:p>
      <w:r>
        <w:t xml:space="preserve">(4) Der Übertragungsnetzbetreiber darf sich hinsichtlich der Forderungen nach Absatz 1 aus der jeweils für das Gebot hinterlegten Sicherheit befriedigen, wenn der Bieter die Forderung nicht vor Ablauf des 56. Kalendermonats nach der Bekanntgabe des Zuschlags nach § 15 Absatz 2 erfüllt hat.</w:t>
      </w:r>
    </w:p>
    <w:p>
      <w:r>
        <w:t xml:space="preserve">(5) Die ausschreibende Stelle teilt dem Übertragungsnetzbetreiber unverzüglich folgende für die Inanspruchnahme der Pönalen erforderliche Angaben mit:</w:t>
      </w:r>
    </w:p>
    <w:p>
      <w:pPr>
        <w:ind w:left="420"/>
      </w:pPr>
      <w:r>
        <w:t xml:space="preserve">1. die registrierten Angaben des Gebots,</w:t>
      </w:r>
    </w:p>
    <w:p>
      <w:pPr>
        <w:ind w:left="420"/>
      </w:pPr>
      <w:r>
        <w:t xml:space="preserve">2. den Zeitpunkt der Bekanntgabe der Zuschläge nach § 15 Absatz 2,</w:t>
      </w:r>
    </w:p>
    <w:p>
      <w:pPr>
        <w:ind w:left="420"/>
      </w:pPr>
      <w:r>
        <w:t xml:space="preserve">3. den Zuschlagswert für das Gebot,</w:t>
      </w:r>
    </w:p>
    <w:p>
      <w:pPr>
        <w:ind w:left="420"/>
      </w:pPr>
      <w:r>
        <w:t xml:space="preserve">4. die Höhe der vom Bieter für das Gebot geleisteten Sicherheit,</w:t>
      </w:r>
    </w:p>
    <w:p>
      <w:pPr>
        <w:ind w:left="420"/>
      </w:pPr>
      <w:r>
        <w:t xml:space="preserve">5. das Erlöschen des Zuschlags,</w:t>
      </w:r>
    </w:p>
    <w:p>
      <w:pPr>
        <w:ind w:left="420"/>
      </w:pPr>
      <w:r>
        <w:t xml:space="preserve">6. die Entwertung eines Zuschlags und</w:t>
      </w:r>
    </w:p>
    <w:p>
      <w:pPr>
        <w:ind w:left="420"/>
      </w:pPr>
      <w:r>
        <w:t xml:space="preserve">7. die Verletzung der jährlichen Mitteilungspflicht nach § 20 Absatz 1.</w:t>
      </w:r>
    </w:p>
    <w:p>
      <w:r>
        <w:t xml:space="preserve">(6) Die Übertragungsnetzbetreiber müssen die nach Absatz 1 zu leistenden Pönalen als Einnahme im Rahmen des Belastungsausgleichs nach Anlage 1 Nummer 6.2 des Energiefinanzierungsgesetzes verbuchen. Sie müssen den Eingang der Pönalen von Bietern der ausschreibenden Stelle unverzüglich mitteilen.</w:t>
      </w:r>
    </w:p>
    <w:p>
      <w:r>
        <w:rPr>
          <w:color w:val="555555"/>
          <w:sz w:val="17"/>
        </w:rPr>
        <w:t xml:space="preserve">Zitiervorschlag: § 21 KWKAusV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https://recht.nulegal.eu/gesetze/KWKAusV/21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