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KWKAusV — Erlöschen und Rückgabe von Zuschlägen</w:t>
      </w:r>
    </w:p>
    <w:p>
      <w:r>
        <w:rPr>
          <w:color w:val="555555"/>
          <w:sz w:val="18"/>
        </w:rPr>
        <w:t xml:space="preserve">KWK-Ausschreibungsverordnung</w:t>
      </w:r>
    </w:p>
    <w:p>
      <w:r>
        <w:rPr>
          <w:color w:val="555555"/>
          <w:sz w:val="18"/>
        </w:rPr>
        <w:t xml:space="preserve">Stand: 10.08.2022 (konsolidierte Textfassung, kein amtliches Inkrafttretensdatum)</w:t>
      </w:r>
    </w:p>
    <w:p>
      <w:r>
        <w:t xml:space="preserve">(1) Zuschläge erlöschen 54 Monate nach ihrer Bekanntgabe nach § 15 Absatz 2, soweit nicht die KWK-Anlage oder das innovative KWK-System an dem Standort, der dem Zuschlag zugeordnet worden ist, bis zu diesem Zeitpunkt den Dauerbetrieb aufgenommen oder im Fall einer Modernisierung wiederaufgenommen hat.</w:t>
      </w:r>
    </w:p>
    <w:p>
      <w:r>
        <w:t xml:space="preserve">(2) Hat eine KWK-Anlage oder ein innovatives KWK-System den Dauerbetrieb innerhalb der Frist des Absatzes 1 aufgenommen oder im Fall einer Modernisierung wiederaufgenommen, erlischt der Zuschlag, wenn die KWK-Anlage nach § 10 des Kraft-Wärme-Kopplungsgesetzes oder das innovative KWK-System nach § 24 nicht innerhalb von zwölf Monaten nach Aufnahme oder Wiederaufnahme des Dauerbetriebs durch das Bundesamt für Wirtschaft und Ausfuhrkontrolle zugelassen wurde oder hätte zugelassen werden müssen.</w:t>
      </w:r>
    </w:p>
    <w:p>
      <w:r>
        <w:t xml:space="preserve">(3) Zuschläge für KWK-Anlagen oder innovative KWK-Systeme für Standorte, die nach § 2 Absatz 2 der Aufbauhilfeverordnung 2021 vom 15. September 2021 (BGBl. I S. 4214) durch den Starkregen und das Hochwasser im Juli 2021 als betroffen gelten, können durch die Bieter bis zum 1. Januar 2023 zurückgegeben werden; im Übrigen ist eine Rückgabe ausgeschlossen. Die Rückgabe erfolgt durch schriftliche Erklärung gegenüber der ausschreibenden Stelle. Wird ein Zuschlag zurückgegeben, ist</w:t>
      </w:r>
    </w:p>
    <w:p>
      <w:pPr>
        <w:ind w:left="420"/>
      </w:pPr>
      <w:r>
        <w:t xml:space="preserve">1. § 5 mit der Maßgabe anzuwenden, dass der Zuschlagswert des zurückgegebenen Zuschlags den Höchstwert für zukünftige Gebote des Bieters oder eines mit ihm verbundenen Unternehmens in der jeweiligen Ausschreibung an dem betreffenden Standort bildet,</w:t>
      </w:r>
    </w:p>
    <w:p>
      <w:pPr>
        <w:ind w:left="420"/>
      </w:pPr>
      <w:r>
        <w:t xml:space="preserve">2. § 21 für diesen Zuschlag ab dem 1. Juli 2021 nicht mehr anzuwenden.</w:t>
      </w:r>
    </w:p>
    <w:p>
      <w:r>
        <w:rPr>
          <w:color w:val="555555"/>
          <w:sz w:val="17"/>
        </w:rPr>
        <w:t xml:space="preserve">Zitiervorschlag: § 18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