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KWKAusV — Zuordnung und Übertragung von Zuschlägen</w:t>
      </w:r>
    </w:p>
    <w:p>
      <w:r>
        <w:rPr>
          <w:color w:val="555555"/>
          <w:sz w:val="18"/>
        </w:rPr>
        <w:t xml:space="preserve">KWK-Ausschreibungsverordnung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Zuschläge sind dem Bieter und der im Gebot angegebenen KWK-Anlage oder dem im Gebot angegebenen innovativen KWK-System an dem im Gebot angegebenen Standort zugeordnet.</w:t>
      </w:r>
    </w:p>
    <w:p>
      <w:r>
        <w:t xml:space="preserve">(2) Eine Übertragung von Zuschlägen vom Bieter auf Dritte wird erst wirksam, wenn</w:t>
      </w:r>
    </w:p>
    <w:p>
      <w:pPr>
        <w:ind w:left="420"/>
      </w:pPr>
      <w:r>
        <w:t xml:space="preserve">1. der Bieter der ausschreibenden Stelle die Übertragung angezeigt hat und</w:t>
      </w:r>
    </w:p>
    <w:p>
      <w:pPr>
        <w:ind w:left="420"/>
      </w:pPr>
      <w:r>
        <w:t xml:space="preserve">2. der Dritte die Eigenerklärungen nach § 8 Absatz 1 Nummer 12 gegenüber der ausschreibenden Stelle abgegeben hat.</w:t>
      </w:r>
    </w:p>
    <w:p>
      <w:r>
        <w:t xml:space="preserve">Mit dem Wirksamwerden der Übertragung tritt der Dritte in sämtliche Rechte und Pflichten des Bieters nach dieser Verordnung ein. Eine Übertragung von Zuschlägen auf andere KWK-Anlagen oder innovative KWK-Systeme und andere Standorte ist nicht zulässig.</w:t>
      </w:r>
    </w:p>
    <w:p>
      <w:r>
        <w:rPr>
          <w:color w:val="555555"/>
          <w:sz w:val="17"/>
        </w:rPr>
        <w:t xml:space="preserve">Zitiervorschlag: § 17 KWKAusV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https://recht.nulegal.eu/gesetze/KWKAusV/17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