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KWKAusV — Entwertung von Zuschlägen</w:t>
      </w:r>
    </w:p>
    <w:p>
      <w:r>
        <w:rPr>
          <w:color w:val="555555"/>
          <w:sz w:val="18"/>
        </w:rPr>
        <w:t xml:space="preserve">KWK-Ausschreibungsverordnung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ausschreibende Stelle entwertet einen Zuschlag,</w:t>
      </w:r>
    </w:p>
    <w:p>
      <w:pPr>
        <w:ind w:left="420"/>
      </w:pPr>
      <w:r>
        <w:t xml:space="preserve">1. soweit der Zuschlag nach Ablauf der Frist zur Aufnahme oder im Fall einer Modernisierung zur Wiederaufnahme des Dauerbetriebs nach § 18 Absatz 1 oder der Frist zur Zulassung der KWK-Anlage oder des innovativen KWK-Systems nach § 18 Absatz 2 erlischt,</w:t>
      </w:r>
    </w:p>
    <w:p>
      <w:pPr>
        <w:ind w:left="420"/>
      </w:pPr>
      <w:r>
        <w:t xml:space="preserve">2. soweit sie den Zuschlag nach dem Verwaltungsverfahrensgesetz zurücknimmt oder widerruft,</w:t>
      </w:r>
    </w:p>
    <w:p>
      <w:pPr>
        <w:ind w:left="420"/>
      </w:pPr>
      <w:r>
        <w:t xml:space="preserve">2a. wenn der Zuschlag nach § 18 Absatz 3 wirksam zurückgegeben wurde,</w:t>
      </w:r>
    </w:p>
    <w:p>
      <w:pPr>
        <w:ind w:left="420"/>
      </w:pPr>
      <w:r>
        <w:t xml:space="preserve">3. wenn der Zuschlag durch Verbrauch der insgesamt nach § 19 Absatz 2 Satz 1 förderfähigen Vollbenutzungsstunden, durch Zeitablauf oder auf sonstige Weise seine Wirksamkeit verliert,</w:t>
      </w:r>
    </w:p>
    <w:p>
      <w:pPr>
        <w:ind w:left="420"/>
      </w:pPr>
      <w:r>
        <w:t xml:space="preserve">4. wenn in den Fällen der Ausschreibungen</w:t>
      </w:r>
    </w:p>
    <w:p>
      <w:pPr>
        <w:ind w:left="780"/>
      </w:pPr>
      <w:r>
        <w:t xml:space="preserve">a) für KWK-Anlagen die elektrische Leistung der KWK-Anlage mit Aufnahme des Dauerbetriebs bei 500 Kilowatt oder darunter oder oberhalb von 50 Megawatt liegt,</w:t>
      </w:r>
    </w:p>
    <w:p>
      <w:pPr>
        <w:ind w:left="780"/>
      </w:pPr>
      <w:r>
        <w:t xml:space="preserve">b) für innovative KWK-Systeme die elektrische Leistung der KWK-Anlage des innovativen KWK-Systems mit Aufnahme des Dauerbetriebs bei 500 Kilowatt oder darunter oder oberhalb von 10 Megawatt liegt,</w:t>
      </w:r>
    </w:p>
    <w:p>
      <w:pPr>
        <w:ind w:left="420"/>
      </w:pPr>
      <w:r>
        <w:t xml:space="preserve">5. wenn der Anspruch auf Zuschlagszahlung in zwei Kalenderjahren nach § 19 Absatz 3 Satz 1 Nummer 1 oder Nummer 2 entfallen ist oder</w:t>
      </w:r>
    </w:p>
    <w:p>
      <w:pPr>
        <w:ind w:left="420"/>
      </w:pPr>
      <w:r>
        <w:t xml:space="preserve">6. wenn sich der Zuschlagswert in fünf aufeinanderfolgenden Jahren nach § 19 Absatz 5 für jeweils mindestens 1 500 Vollbenutzungsstunden auf null verringert hat.</w:t>
      </w:r>
    </w:p>
    <w:p>
      <w:r>
        <w:t xml:space="preserve">(2) Wird die Zulassung einer KWK-Anlage oder eines innovativen KWK-Systems aufgehoben, wird auch der zugrunde liegende Zuschlag entwertet, soweit der KWK-Anlage oder dem innovativen KWK-System nicht im Rahmen einer Änderungszulassung nach § 11 Absatz 4 des Kraft-Wärme-Kopplungsgesetzes eine erneute Zulassung erteilt wird.</w:t>
      </w:r>
    </w:p>
    <w:p>
      <w:r>
        <w:rPr>
          <w:color w:val="555555"/>
          <w:sz w:val="17"/>
        </w:rPr>
        <w:t xml:space="preserve">Zitiervorschlag: § 16 KWKAusV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https://recht.nulegal.eu/gesetze/KWKAusV/16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