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KWKAusV — Ausschluss von Bietern</w:t>
      </w:r>
    </w:p>
    <w:p>
      <w:r>
        <w:rPr>
          <w:color w:val="555555"/>
          <w:sz w:val="18"/>
        </w:rPr>
        <w:t xml:space="preserve">KWK-Ausschreibungsverordnung</w:t>
      </w:r>
    </w:p>
    <w:p>
      <w:r>
        <w:rPr>
          <w:color w:val="555555"/>
          <w:sz w:val="18"/>
        </w:rPr>
        <w:t xml:space="preserve">Stand: 10.08.2022 (konsolidierte Textfassung, kein amtliches Inkrafttretensdatum)</w:t>
      </w:r>
    </w:p>
    <w:p>
      <w:r>
        <w:t xml:space="preserve">(1) Die ausschreibende Stelle muss Bieter und deren Gebote von dem Zuschlagsverfahren ausschließen, wenn</w:t>
      </w:r>
    </w:p>
    <w:p>
      <w:pPr>
        <w:ind w:left="420"/>
      </w:pPr>
      <w:r>
        <w:t xml:space="preserve">1. der Bieter</w:t>
      </w:r>
    </w:p>
    <w:p>
      <w:pPr>
        <w:ind w:left="780"/>
      </w:pPr>
      <w:r>
        <w:t xml:space="preserve">a) vorsätzlich oder grob fahrlässig Gebote unter falschen Angaben oder unter Vorlage falscher Nachweise in dieser oder einer vorangegangenen Ausschreibung abgegeben hat oder</w:t>
      </w:r>
    </w:p>
    <w:p>
      <w:pPr>
        <w:ind w:left="780"/>
      </w:pPr>
      <w:r>
        <w:t xml:space="preserve">b) mit anderen Bietern Absprachen über die Gebotswerte der in dieser oder einer vorangegangenen Ausschreibung abgegebenen Gebote getroffen hat oder</w:t>
      </w:r>
    </w:p>
    <w:p>
      <w:pPr>
        <w:ind w:left="420"/>
      </w:pPr>
      <w:r>
        <w:t xml:space="preserve">2. die Gebotsmengen mehrerer Zuschläge eines Bieters aus mindestens zwei vorangegangenen Ausschreibungen nach § 16 Absatz 1 Nummer 1 vollständig entwertet worden sind.</w:t>
      </w:r>
    </w:p>
    <w:p>
      <w:r>
        <w:t xml:space="preserve">(2) Die ausschreibende Stelle kann im Einvernehmen mit dem Bundesministerium für Wirtschaft und Klimaschutz einen Bieter, der ein Unionsfremder im Sinn des § 2 Absatz 19 des Außenwirtschaftsgesetzes ist oder dessen unmittelbare oder mittelbare Gesellschafter Unionsfremde sind, von dem Zuschlagsverfahren ausschließen, wenn durch den Betrieb der gebotsgegenständlichen Anlage die öffentliche Ordnung oder Sicherheit der Bundesrepublik Deutschland voraussichtlich beeinträchtigt würden. Unionsfremde Bieter aus den Mitgliedstaaten der Europäischen Freihandelsassoziation stehen unionsansässigen Bietern gleich.</w:t>
      </w:r>
    </w:p>
    <w:p>
      <w:r>
        <w:t xml:space="preserve">(3) Die ausschreibende Stelle kann außer nach den Vorschriften des Verwaltungsverfahrensgesetzes im Einvernehmen mit dem Bundesministerium für Wirtschaft und Klimaschutz den Zuschlag eines Bieters, der ein Unionsfremder im Sinn des § 2 Absatz 19 des Außenwirtschaftsgesetzes ist oder dessen unmittelbare oder mittelbare Gesellschafter Unionsfremde sind, widerrufen, wenn durch den Betrieb der gebotsgegenständlichen Anlage die öffentliche Ordnung oder Sicherheit der Bundesrepublik Deutschland voraussichtlich beeinträchtigt werden.</w:t>
      </w:r>
    </w:p>
    <w:p>
      <w:r>
        <w:t xml:space="preserve">(4) Ein Bieter hat auf Anforderung der ausschreibenden Stelle innerhalb von vier Wochen die zur Prüfung nach Absatz 2 oder 3 notwendigen Unterlagen zur Verfügung zu stellen, insbesondere Unterlagen zu seiner Beteiligungsstruktur und seinen Geschäftsfeldern.</w:t>
      </w:r>
    </w:p>
    <w:p>
      <w:r>
        <w:rPr>
          <w:color w:val="555555"/>
          <w:sz w:val="17"/>
        </w:rPr>
        <w:t xml:space="preserve">Zitiervorschlag: § 13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