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KWKAusV — Anwendungsbereich</w:t>
      </w:r>
    </w:p>
    <w:p>
      <w:r>
        <w:rPr>
          <w:color w:val="555555"/>
          <w:sz w:val="18"/>
        </w:rPr>
        <w:t xml:space="preserve">KWK-Ausschreibungsverordnung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regelt die Ausschreibung der Zuschlagszahlungen und die Ausschreibung der Höhe der Zuschlagszahlungen für KWK-Strom aus</w:t>
      </w:r>
    </w:p>
    <w:p>
      <w:pPr>
        <w:ind w:left="420"/>
      </w:pPr>
      <w:r>
        <w:t xml:space="preserve">1. KWK-Anlagen nach § 5 Absatz 1 Nummer 2 des Kraft-Wärme-Kopplungsgesetzes und</w:t>
      </w:r>
    </w:p>
    <w:p>
      <w:pPr>
        <w:ind w:left="420"/>
      </w:pPr>
      <w:r>
        <w:t xml:space="preserve">2. innovativen KWK-Systemen nach § 5 Absatz 2 des Kraft-Wärme-Kopplungsgesetzes.</w:t>
      </w:r>
    </w:p>
    <w:p>
      <w:r>
        <w:t xml:space="preserve">(2) Diese Verordnung ist auf KWK-Anlagen und auf innovative KWK-Systeme anzuwenden, die im Bundesgebiet errichtet oder modernisiert werden sollen. Sie ist darüber hinaus für KWK-Anlagen anzuwenden, die im Staatsgebiet eines Kooperationsstaates errichtet oder modernisiert werden sollen und die an einer Ausschreibung für KWK-Anlagen teilnehmen.</w:t>
      </w:r>
    </w:p>
    <w:p>
      <w:r>
        <w:rPr>
          <w:color w:val="555555"/>
          <w:sz w:val="17"/>
        </w:rPr>
        <w:t xml:space="preserve">Zitiervorschlag: § 1 KWKAusV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https://recht.nulegal.eu/gesetze/KWKAusV/1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