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KWGVermV</w:t>
      </w:r>
    </w:p>
    <w:p>
      <w:r>
        <w:rPr>
          <w:color w:val="555555"/>
          <w:sz w:val="18"/>
        </w:rPr>
        <w:t xml:space="preserve">KWG-WpIG-Vermittlerverordnung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24 Abs. 4 Satz 1 und 3 in Verbindung mit § 2 Abs. 10 Satz 4 und 7 des Kreditwesengesetzes in der Fassung der Bekanntmachung vom 9. September 1998 (BGBl. I S. 2776), von denen § 24 Abs. 4 zuletzt durch Artikel 1 Nr. 30 Buchstabe d des Gesetzes vom 17. November 2006 (BGBl. I S. 2606) geändert und § 2 Abs. 10 durch Artikel 3 Nr. 3 Buchstabe g des Gesetzes vom 16. Juli 2007 (BGBl. I S. 1330) neu gefasst worden sind, in Verbindung mit § 1 Nr. 5 der Verordnung zur Übertragung von Befugnissen zum Erlass von Rechtsverordnungen auf die Bundesanstalt für Finanzdienstleistungsaufsicht vom 13. Dezember 2002 (BGBl. 2003 I S. 3), der zuletzt durch die Verordnung vom 21. November 2007 (BGBl. I S. 2605) geändert worden ist, verordnet die Bundesanstalt für Finanzdienstleistungsaufsicht nach Anhörung der Spitzenverbände der Institute im Einvernehmen mit der Deutschen Bundesbank:</w:t>
      </w:r>
    </w:p>
    <w:p>
      <w:r>
        <w:rPr>
          <w:color w:val="555555"/>
          <w:sz w:val="17"/>
        </w:rPr>
        <w:t xml:space="preserve">Zitiervorschlag: Eingangsformel KWGVermV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https://recht.nulegal.eu/gesetze/KWGVermV/eingangsformel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