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KWGVermV — Inkrafttreten</w:t>
      </w:r>
    </w:p>
    <w:p>
      <w:r>
        <w:rPr>
          <w:color w:val="555555"/>
          <w:sz w:val="18"/>
        </w:rPr>
        <w:t xml:space="preserve">KWG-WpIG-Vermittlerverordnung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KWGVermV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https://recht.nulegal.eu/gesetze/KWGVermV/9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