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KWGVermV — Einsichtnahme in das Register</w:t>
      </w:r>
    </w:p>
    <w:p>
      <w:r>
        <w:rPr>
          <w:color w:val="555555"/>
          <w:sz w:val="18"/>
        </w:rPr>
        <w:t xml:space="preserve">KWG-WpIG-Vermittlerverordnung</w:t>
      </w:r>
    </w:p>
    <w:p>
      <w:r>
        <w:rPr>
          <w:color w:val="555555"/>
          <w:sz w:val="18"/>
        </w:rPr>
        <w:t xml:space="preserve">Stand: 16.11.2022 (konsolidierte Textfassung, kein amtliches Inkrafttretensdatum)</w:t>
      </w:r>
    </w:p>
    <w:p>
      <w:r>
        <w:t xml:space="preserve">Die Einsichtnahme in das öffentliche Register nach § 2 Absatz 10 Satz 5 des Kreditwesengesetzes oder nach § 3 Absatz 2 Satz 5 des Wertpapierinstitutsgesetzes erfolgt ausschließlich im automatisierten Abrufverfahren.</w:t>
      </w:r>
    </w:p>
    <w:p>
      <w:r>
        <w:rPr>
          <w:color w:val="555555"/>
          <w:sz w:val="17"/>
        </w:rPr>
        <w:t xml:space="preserve">Zitiervorschlag: § 6 KWGVermV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https://recht.nulegal.eu/gesetze/KWGVermV/6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