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KWGVermV — Verantwortlichkeit</w:t>
      </w:r>
    </w:p>
    <w:p>
      <w:r>
        <w:rPr>
          <w:color w:val="555555"/>
          <w:sz w:val="18"/>
        </w:rPr>
        <w:t xml:space="preserve">KWG-WpIG-Vermittlerverordnung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Das haftende Unternehmen trägt die Verantwortung für die Vollständigkeit, die Richtigkeit und die Aktualität der im Register veröffentlichten Daten nach § 4 Abs. 1. Es hat diese Daten auf Vollständigkeit und Richtigkeit laufend zu prüfen. Erforderliche Berichtigungen sind unter Verwendung des elektronischen Anzeigeverfahrens vorzunehmen.</w:t>
      </w:r>
    </w:p>
    <w:p>
      <w:r>
        <w:rPr>
          <w:color w:val="555555"/>
          <w:sz w:val="17"/>
        </w:rPr>
        <w:t xml:space="preserve">Zitiervorschlag: § 5 KWGVermV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https://recht.nulegal.eu/gesetze/KWGVermV/5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