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KWGVermV — Bestätigung der fachlichen Eignung und Zuverlässigkeit</w:t>
      </w:r>
    </w:p>
    <w:p>
      <w:r>
        <w:rPr>
          <w:color w:val="555555"/>
          <w:sz w:val="18"/>
        </w:rPr>
        <w:t xml:space="preserve">KWG-WpIG-Vermittlerverordnung</w:t>
      </w:r>
    </w:p>
    <w:p>
      <w:r>
        <w:rPr>
          <w:color w:val="555555"/>
          <w:sz w:val="18"/>
        </w:rPr>
        <w:t xml:space="preserve">Stand: 16.11.2022 (konsolidierte Textfassung, kein amtliches Inkrafttretensdatum)</w:t>
      </w:r>
    </w:p>
    <w:p>
      <w:r>
        <w:t xml:space="preserve">In der Anzeige nach § 2 Absatz 10 Satz 1 des Kreditwesengesetzes oder nach § 3 Absatz 2 Satz 1 des Wertpapierinstitutsgesetzes hat das haftende Unternehmen, sofern es seinen Sitz im Inland hat, zu bestätigen, dass der vertraglich gebundene Vermittler fachlich geeignet und zuverlässig ist.</w:t>
      </w:r>
    </w:p>
    <w:p>
      <w:r>
        <w:rPr>
          <w:color w:val="555555"/>
          <w:sz w:val="17"/>
        </w:rPr>
        <w:t xml:space="preserve">Zitiervorschlag: § 3 KWGVermV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https://recht.nulegal.eu/gesetze/KWGVermV/3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