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KWGVermV — Einreichung der Anzeigen</w:t>
      </w:r>
    </w:p>
    <w:p>
      <w:r>
        <w:rPr>
          <w:color w:val="555555"/>
          <w:sz w:val="18"/>
        </w:rPr>
        <w:t xml:space="preserve">KWG-WpIG-Vermittlerverordnung</w:t>
      </w:r>
    </w:p>
    <w:p>
      <w:r>
        <w:rPr>
          <w:color w:val="555555"/>
          <w:sz w:val="18"/>
        </w:rPr>
        <w:t xml:space="preserve">Stand: 16.11.2022 (konsolidierte Textfassung, kein amtliches Inkrafttretensdatum)</w:t>
      </w:r>
    </w:p>
    <w:p>
      <w:r>
        <w:t xml:space="preserve">Die Anzeigen nach § 2 Absatz 10 Satz 1 und 3 des Kreditwesengesetzes sowie die Anzeigen nach § 3 Absatz 2 Satz 1 und 3 des Wertpapierinstitutsgesetzes sind im Wege der Datenfernübertragung unter Verwendung des von der Bundesanstalt bereitgestellten elektronischen Anzeigeverfahrens einzureichen. Vor der erstmaligen Verwendung des elektronischen Anzeigeverfahrens ist eine Anmeldung bei der Bundesanstalt für Finanzdienstleistungsaufsicht (Bundesanstalt) erforderlich. Die Anmeldung hat über die Internetseite der Bundesanstalt zu erfolgen. Die Bundesanstalt teilt unverzüglich nach Eingang der Anmeldung die zur Verwendung des elektronischen Anzeigeverfahrens erforderlichen Zertifikate zu. Unmittelbar nach jeder erfolgreichen Übermittlung einer Anzeige erhält das haftende Unternehmen eine Bestätigung.</w:t>
      </w:r>
    </w:p>
    <w:p>
      <w:r>
        <w:rPr>
          <w:color w:val="555555"/>
          <w:sz w:val="17"/>
        </w:rPr>
        <w:t xml:space="preserve">Zitiervorschlag: § 1 KWGVermV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https://recht.nulegal.eu/gesetze/KWGVermV/1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