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KWBG (Bayern) — Begründung des Beamtenverhältnisses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Wer in ein kommunales Wahlbeamtenverhältnis nach Art. 1 Abs. 2 Nrn. 1 bis 3 gewählt ist und wessen Wahl entweder als angenommen gilt oder wirksam angenommen wurde, wird mit dem Beginn der Amtszeit kommunaler Wahlbeamter oder kommunale Wahlbeamtin; eine Annahme der Wahl in elektronischer Form ist nicht möglich. Eine Ernennung entfällt.</w:t>
      </w:r>
    </w:p>
    <w:p>
      <w:r>
        <w:rPr>
          <w:color w:val="555555"/>
          <w:sz w:val="17"/>
        </w:rPr>
        <w:t xml:space="preserve">Zitiervorschlag: Art 9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