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7 KWBG (Bayern) — Rückforderung</w:t>
      </w:r>
    </w:p>
    <w:p>
      <w:r>
        <w:rPr>
          <w:color w:val="555555"/>
          <w:sz w:val="18"/>
        </w:rPr>
        <w:t xml:space="preserve">Kommunal-Wahlbeamten-Gesetz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Für die Rückforderung von nach diesem Gesetz gewährten Leistungen, die nicht Besoldung oder Versorgung sind, gilt Art. 15 des Bayerischen Besoldungsgesetzes (BayBesG) entsprechend.</w:t>
      </w:r>
    </w:p>
    <w:p>
      <w:r>
        <w:rPr>
          <w:color w:val="555555"/>
          <w:sz w:val="17"/>
        </w:rPr>
        <w:t xml:space="preserve">Zitiervorschlag: Art 7 KWBG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https://recht.nulegal.eu/gesetze/KWBG/7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