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65 KWBG (Bayern) — Übergangsregelung</w:t>
      </w:r>
    </w:p>
    <w:p>
      <w:r>
        <w:rPr>
          <w:color w:val="555555"/>
          <w:sz w:val="18"/>
        </w:rPr>
        <w:t xml:space="preserve">Kommunal-Wahlbeamten-Gesetz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Art. 53 Abs. 3, Art. 60 Abs. 2 Nr. 2 und Anlage 3 in ihrer am 15. Oktober 2023 geltenden Fassung finden erstmals auf die nach dem Inkrafttreten der Änderungen gewählten Bezirkstagspräsidentinnen und Bezirkstagspräsidenten Anwendung.</w:t>
      </w:r>
    </w:p>
    <w:p>
      <w:r>
        <w:rPr>
          <w:color w:val="555555"/>
          <w:sz w:val="17"/>
        </w:rPr>
        <w:t xml:space="preserve">Zitiervorschlag: Art 65 KWBG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https://recht.nulegal.eu/gesetze/KWBG/65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