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64 KWBG (Bayern) — Geltung für frühere kommunale Wahlbeamte und Wahlbeamtinnen</w:t>
      </w:r>
    </w:p>
    <w:p>
      <w:r>
        <w:rPr>
          <w:color w:val="555555"/>
          <w:sz w:val="18"/>
        </w:rPr>
        <w:t xml:space="preserve">Kommunal-Wahlbeamten-Gesetz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Für die Versorgung der bei Inkrafttreten dieses Gesetzes vorhandenen Ruhestandsbeamten und Ruhestandsbeamtinnen und ihrer Hinterbliebenen gelten Art. 100 bis 102 BayBeamtVG und die Sonderregelungen in Art. 52 Abs. 3 bis 6 entsprechend, wobei an die Stelle des in Art. 100 bis 102 BayBeamtVG genannten 1. Januar 2011 der Tag des Inkrafttretens dieses Gesetzes und an die Stelle des 31. Dezember 2010 der Tag vor Inkrafttreten dieses Gesetzes tritt.</w:t>
      </w:r>
    </w:p>
    <w:p>
      <w:r>
        <w:t xml:space="preserve">(2) Auf frühere kommunale Wahlbeamte und Wahlbeamtinnen sind die Ehrensoldregelungen nach Art. 59 bis 61 anwendbar. Dies gilt nicht für Art. 59 Abs. 1 Satz 2, soweit der Ehrensold vor Inkrafttreten dieses Gesetzes bewilligt wurde.</w:t>
      </w:r>
    </w:p>
    <w:p>
      <w:r>
        <w:t xml:space="preserve">(3) Ruhestandsbeamte und Ruhestandsbeamtinnen und ihre Hinterbliebenen erhalten für die Zeit vom 1. Januar 2012 bis zum Inkrafttreten dieses Gesetzes eine Nachzahlung der ihnen in diesem Zeitraum zustehenden Versorgungsbezüge in entsprechender Anwendung der für Beamte und Beamtinnen im Sinn des Art. 1 Abs. 1 BayBeamtVG geltenden Vorschriften. Satz 1 gilt als erste Anpassung im Sinn des Art. 107 Abs. 1 BayBeamtVG.</w:t>
      </w:r>
    </w:p>
    <w:p>
      <w:r>
        <w:t xml:space="preserve">(4) Ehemalige kommunale Wahlbeamte und Wahlbeamtinnen und deren Hinterbliebene erhalten für die Zeit vom 1. Januar 2012 bis zum Inkrafttreten dieses Gesetzes eine Nachzahlung des ihnen in diesem Zeitraum zustehenden Ehrensolds in Höhe von 2,2 v.H. Die bis zum Inkrafttreten dieses Gesetzes zustehenden Ehrensoldleistungen erhöhen sich ab Inkrafttreten dieses Gesetzes um 1,9 v.H.</w:t>
      </w:r>
    </w:p>
    <w:p>
      <w:r>
        <w:rPr>
          <w:color w:val="555555"/>
          <w:sz w:val="17"/>
        </w:rPr>
        <w:t xml:space="preserve">Zitiervorschlag: Art 64 KWBG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https://recht.nulegal.eu/gesetze/KWBG/64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