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63 KWBG (Bayern) — Überleitungsbestimmungen für amtierende kommunale Wahlbeamte und Wahlbeamtinnen</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Beamte und Beamtinnen auf Zeit gilt mit Inkrafttreten dieses Gesetzes die bisherige besoldungsrechtliche Einstufung weiter; soweit Beamte und Beamtinnen in Ämtern der Besoldungsordnung A die Endstufe noch nicht erreicht haben, gelten sie mit Inkrafttreten dieses Gesetzes als in die Endstufe ihres Amtes übergeleitet. Berufsmäßige erste Bürgermeister und erste Bürgermeisterinnen, Oberbürgermeister und Oberbürgermeisterinnen, berufsmäßige Gemeinderatsmitglieder und Landräte und Landrätinnen, deren bisherige Einstufung einer niedrigeren Besoldungsgruppe entspricht als der nach Art. 45 Abs. 2 in Verbindung mit Anlage 1 maßgeblichen, gelten mit Inkrafttreten dieses Gesetzes als in die Endstufe des neuen Amtes übergeleitet. Die Betroffenen sind über die ab Inkrafttreten dieses Gesetzes maßgebliche besoldungsrechtliche Einstufung vom Dienstherrn schriftlich zu informieren.</w:t>
      </w:r>
    </w:p>
    <w:p>
      <w:r>
        <w:t xml:space="preserve">(2) Die sonstigen Übergangsregelungen nach Art. 108 Abs. 1, 2 und 7 BayBesG gelten für die Besoldung der Beamten und Beamtinnen auf Zeit entsprechend, wobei an die Stelle des dort genannten 1. Januar 2011 der Tag des Inkrafttretens dieses Gesetzes und an die Stelle des dort genannten 31. Dezember 2010 der Tag vor Inkrafttreten dieses Gesetzes tritt.</w:t>
      </w:r>
    </w:p>
    <w:p>
      <w:r>
        <w:t xml:space="preserve">(3) An die Stelle von Dienstaufwandsentschädigungen, die in einer Höhe unterhalb der in Anlage 2 festgelegten Untergrenzen festgesetzt sind, tritt jeweils eine Dienstaufwandsentschädigung in Höhe der in Anlage 2 festgelegten Rahmenuntergrenze.</w:t>
      </w:r>
    </w:p>
    <w:p>
      <w:r>
        <w:t xml:space="preserve">(4) Für Beamte und Beamtinnen auf Zeit, die am 31. Dezember 1991 im Amt waren und das Amt bis zum Inkrafttreten dieses Gesetzes fortgeführt haben, beträgt der Ruhegehaltssatz nach einer Amtszeit von acht Jahren abweichend von Art. 28 Satz 1 BayBeamtVG 42 v.H.</w:t>
      </w:r>
    </w:p>
    <w:p>
      <w:r>
        <w:t xml:space="preserve">(5) An die Stelle von Entschädigungen für erste Bürgermeister und erste Bürgermeisterinnen, die in einer Höhe unterhalb der in Anlage 3 festgelegten Untergrenzen festgesetzt sind, tritt jeweils eine Entschädigung in Höhe der in Anlage 3 festgesetzten Rahmenuntergrenze.</w:t>
      </w:r>
    </w:p>
    <w:p>
      <w:r>
        <w:t xml:space="preserve">(6) Beamte und Beamtinnen auf Zeit erhalten für die Zeit vom 1. Januar 2012 bis zum Inkrafttreten dieses Gesetzes</w:t>
      </w:r>
    </w:p>
    <w:p>
      <w:r>
        <w:t xml:space="preserve">1. eine Bezügenachzahlung in Höhe von 1,9 v.H. der ihnen in diesem Zeitraum zustehenden monatlichen Grundgehaltssätze zuzüglich monatlich 17 € und</w:t>
      </w:r>
    </w:p>
    <w:p>
      <w:r>
        <w:t xml:space="preserve">2. eine Nachzahlung in Höhe von 1,9 v.H. der ihnen in diesem Zeitraum zustehenden monatlichen Familienzuschläge.</w:t>
      </w:r>
    </w:p>
    <w:p>
      <w:r>
        <w:t xml:space="preserve">(7) Beamte und Beamtinnen auf Zeit erhalten für die Zeit vom 1. Januar 2012 bis zum Inkrafttreten dieses Gesetzes eine Nachzahlung in Höhe von 2,2 v.H. der ihnen in diesem Zeitraum zustehenden monatlichen Dienstaufwandsentschädigung. Die bis zum Inkrafttreten dieses Gesetzes zustehenden Dienstaufwandsentschädigungen erhöhen sich ab Inkrafttreten dieses Gesetzes um 1,9 v.H.</w:t>
      </w:r>
    </w:p>
    <w:p>
      <w:r>
        <w:t xml:space="preserve">(8) Ehrenbeamte und Ehrenbeamtinnen erhalten für die Zeit vom 1. Januar 2012 bis zum Inkrafttreten dieses Gesetzes eine Nachzahlung in Höhe von 2,2 v.H. der ihnen in diesem Zeitraum zustehenden monatlichen Entschädigung. Die bis zum Inkrafttreten dieses Gesetzes zustehenden Entschädigungen erhöhen sich ab Inkrafttreten dieses Gesetzes um 1,9 v.H.</w:t>
      </w:r>
    </w:p>
    <w:p>
      <w:r>
        <w:rPr>
          <w:color w:val="555555"/>
          <w:sz w:val="17"/>
        </w:rPr>
        <w:t xml:space="preserve">Zitiervorschlag: Art 63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https://recht.nulegal.eu/gesetze/KWBG/63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