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59 KWBG (Bayern) — Pflichtehrensold und freiwilliger Ehrensold</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Einem ersten Bürgermeister oder einer ersten Bürgermeisterin und einem Bezirkstagspräsidenten oder einer Bezirkstagspräsidentin ist für die Zeit nach dem Ausscheiden aus dem Amt Ehrensold (Pflichtehrensold) zu bewilligen, wenn er oder sie</w:t>
      </w:r>
    </w:p>
    <w:p>
      <w:r>
        <w:t xml:space="preserve">1. aus dieser Tätigkeit außer einem Übergangsgeld keine Versorgung erhält,</w:t>
      </w:r>
    </w:p>
    <w:p>
      <w:r>
        <w:t xml:space="preserve">2. entweder das sechzigste Lebensjahr vollendet hat oder dienstunfähig ist und</w:t>
      </w:r>
    </w:p>
    <w:p>
      <w:r>
        <w:t xml:space="preserve">3. dieses Amt in derselben Gemeinde mindestens zwölf Jahre bekleidet hat oder aus diesem Amt nach mindestens zehn Jahren wegen Dienstunfähigkeit ausscheidet oder dieses Amt im selben Bezirk mindestens zehn Jahre bekleidet hat oder aus diesem Amt nach mindestens acht Jahren wegen Dienstunfähigkeit ausscheidet.</w:t>
      </w:r>
    </w:p>
    <w:p>
      <w:r>
        <w:t xml:space="preserve">Der Pflichtehrensold entfällt ab dem Zeitpunkt, ab dem aus einem anderen Amt Versorgung nach diesem Gesetz zusteht, wenn dabei Zeiten aus diesem Ehrenamt als ruhegehaltfähige Dienstzeit nach Art. 50 berücksichtigt werden. Nach dem Tod eines oder einer nach Satz 1 Berechtigten ist dem Ehegatten oder der Ehegattin oder dem Lebenspartner oder der Lebenspartnerin im Sinn des § 1 LPartG Ehrensold zu gewähren; die Zahlung endet bei erneuter Eheschließung oder Begründung einer neuen Lebenspartnerschaft im Sinn des Lebenspartnerschaftsgesetzes.</w:t>
      </w:r>
    </w:p>
    <w:p>
      <w:r>
        <w:t xml:space="preserve">(2) Einem Bürgermeister oder einer Bürgermeisterin, einem gewählten Stellvertreter des Landrats oder der Landrätin und einem Bezirkstagspräsidenten oder einer Bezirkstagspräsidentin kann für die Zeit nach dem Ausscheiden aus dem Amt Ehrensold (freiwilliger Ehrensold) gewährt werden, wenn er oder sie</w:t>
      </w:r>
    </w:p>
    <w:p>
      <w:r>
        <w:t xml:space="preserve">1. die Voraussetzungen nach Abs. 1 Satz 1 Nrn. 1 und 2 erfüllt und</w:t>
      </w:r>
    </w:p>
    <w:p>
      <w:r>
        <w:t xml:space="preserve">2. dieses Amt in derselben Gemeinde oder im selben Landkreis mindestens zehn Jahre, in den Fällen des Art. 41 Abs. 2 GLKrWG mehr als acht Jahre, bekleidet hat oder dieses Amt im selben Bezirk mindestens acht Jahre bekleidet hat.</w:t>
      </w:r>
    </w:p>
    <w:p>
      <w:r>
        <w:t xml:space="preserve">Ist ein Beamter oder eine Beamtin innerhalb von drei Monaten nach dem Zusammentritt des neu gewählten Gemeinderats, Kreistags oder Bezirkstags in das Amt gewählt worden, so gilt als Beginn der Amtszeit der Beginn der Wahlzeit des Gemeinderats, Kreistags oder Bezirkstags. Nach dem Tod eines Beamten oder einer Beamtin oder eines früheren Beamten oder einer früheren Beamtin, dem oder der freiwilliger Ehrensold gewährt worden ist oder hätte gewährt werden können, kann dem Ehegatten oder der Ehegattin oder dem Lebenspartner oder der Lebenspartnerin im Sinn des § 1 LPartG sowie den minderjährigen Kindern Ehrensold gewährt werden. Abs. 1 Sätze 2 und 3 Halbsatz 2 gelten entsprechend.</w:t>
      </w:r>
    </w:p>
    <w:p>
      <w:r>
        <w:t xml:space="preserve">(3) Die Fristen nach Abs. 1 Satz 1 Nr. 3 und Abs. 2 Satz 1 Nr. 2 gelten als erfüllt, wenn weniger als sechs Monate Amtszeit fehlen. Ist ein Bürgermeister oder eine Bürgermeisterin in einer Gemeinde wiedergewählt worden, die unter vollständiger oder teilweiser Einbeziehung der früheren Gemeinde neu gebildet oder mit der früheren Gemeinde zusammengelegt worden ist, so werden auch die in der früheren Gemeinde erbrachten Zeiten auf diese Fristen angerechnet; Entsprechendes gilt bei Wiederwahl eines Bezirkstagspräsidenten oder einer Bezirkstagspräsidentin nach Umbildung des Bezirks. In den Fällen des Art. 26 gilt für diese Fristen die gesamte laufende Wahlzeit als zurückgelegte Amtszeit.</w:t>
      </w:r>
    </w:p>
    <w:p>
      <w:r>
        <w:t xml:space="preserve">(4) Der Ehrensold wird monatlich im Voraus gezahlt.</w:t>
      </w:r>
    </w:p>
    <w:p>
      <w:r>
        <w:t xml:space="preserve">(5) Die Bewilligung des Ehrensolds kann zurückgenommen werden, wenn sich der Empfänger oder die Empfängerin des Ehrensolds nicht würdig erweist.</w:t>
      </w:r>
    </w:p>
    <w:p>
      <w:r>
        <w:rPr>
          <w:color w:val="555555"/>
          <w:sz w:val="17"/>
        </w:rPr>
        <w:t xml:space="preserve">Zitiervorschlag: Art 59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https://recht.nulegal.eu/gesetze/KWBG/59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