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KWBG (Bayern) — Dienstaufwandsentschädigung</w:t>
      </w:r>
    </w:p>
    <w:p>
      <w:r>
        <w:rPr>
          <w:color w:val="555555"/>
          <w:sz w:val="18"/>
        </w:rPr>
        <w:t xml:space="preserve">Kommunal-Wahlbeamten-Gesetz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Beamte oder die Beamtin auf Zeit erhält für die durch das Amt bedingten Mehraufwendungen in der Lebensführung eine angemessene Dienstaufwandsentschädigung. Sie muss sich innerhalb der in Anlage 2 bestimmten Beträge halten. Der anzuwendende Rahmensatz bestimmt sich nach der letzten vom Landesamt für Statistik fortgeschriebenen und früher als drei Monate vor der Wahl veröffentlichten Einwohnerzahl. Die nach Art. 48 Abs. 1 zustehende Reisekostenvergütung für Reisen innerhalb des Gebiets des Dienstherrn ist mit der Dienstaufwandsentschädigung abgegolten; das gilt nicht für Fahrkostenerstattung und Wegstrecken- und Mitnahmeentschädigung.</w:t>
      </w:r>
    </w:p>
    <w:p>
      <w:r>
        <w:t xml:space="preserve">(2) Die Dienstaufwandsentschädigung wird zu Beginn jeder Amtszeit durch Beschluss festgesetzt. Kommt innerhalb von zwei Monaten nach dem Beginn der Amtszeit des Beamten kein Beschluss zustande, setzt die Rechtsaufsichtsbehörde die Höhe der Dienstaufwandsentschädigung fest. Die Dienstaufwandsentschädigung wird monatlich im Voraus gezahlt.</w:t>
      </w:r>
    </w:p>
    <w:p>
      <w:r>
        <w:t xml:space="preserve">(3) Für die Rahmensätze der Anlage 2 und für die nach Abs. 2 festgesetzten Dienstaufwandsentschädigungen gelten</w:t>
      </w:r>
    </w:p>
    <w:p>
      <w:r>
        <w:t xml:space="preserve">1. bei Beamten und Beamtinnen auf Zeit mit einer Besoldung nach der Besoldungsordnung A mit einem einheitlichen Vomhundertsatz benannte Änderungen aller Grundgehälter der Besoldungsordnung A,</w:t>
      </w:r>
    </w:p>
    <w:p>
      <w:r>
        <w:t xml:space="preserve">2. bei Beamten und Beamtinnen auf Zeit mit einer Besoldung nach der Besoldungsordnung B mit einem einheitlichen Vomhundertsatz benannte Änderungen aller Grundgehälter der Besoldungsordnung B</w:t>
      </w:r>
    </w:p>
    <w:p>
      <w:r>
        <w:t xml:space="preserve">jeweils mit dem gleichen Vomhundertsatz und ab dem gleichen Zeitpunkt unmittelbar. Werden die Grundgehälter innerhalb der Besoldungsordnung A oder B mit unterschiedlichen Vomhundertsätzen geändert, gilt für die Anpassungen nach Satz 1 der Vomhundertsatz, der sich innerhalb der Besoldungsordnung A oder B aus dem Durchschnitt der unterschiedlichen Vomhundertsätze ergibt. Das Staatsministerium des Innern, für Sport und Integration macht bei einer Anpassung nach den Sätzen 1 und 2 die neuen Rahmensätze im Bayerischen Ministerialblatt bekannt.</w:t>
      </w:r>
    </w:p>
    <w:p>
      <w:r>
        <w:t xml:space="preserve">(4) Ist der Beamte auf Zeit oder die Beamtin auf Zeit verhindert, die Dienstgeschäfte wahrzunehmen, so wird die Dienstaufwandsentschädigung zwei Monate weitergezahlt. Der Dienstherr kann durch Beschluss bestimmen, dass im Fall längerer Verhinderung die Entschädigung auch für einen über zwei Monate hinausgehenden Zeitraum ganz oder teilweise gewährt wird.</w:t>
      </w:r>
    </w:p>
    <w:p>
      <w:r>
        <w:rPr>
          <w:color w:val="555555"/>
          <w:sz w:val="17"/>
        </w:rPr>
        <w:t xml:space="preserve">Zitiervorschlag: Art 46 KWBG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https://recht.nulegal.eu/gesetze/KWBG/46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