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41 KWBG (Bayern) — Urlaub</w:t>
      </w:r>
    </w:p>
    <w:p>
      <w:r>
        <w:rPr>
          <w:color w:val="555555"/>
          <w:sz w:val="18"/>
        </w:rPr>
        <w:t xml:space="preserve">Kommunal-Wahlbeamten-Gesetz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Erholungs- und Sonderurlaub der Beamten und Beamtinnen auf Zeit gelten Art. 93 BayBG und die auf dessen Grundlage erlassene Rechtsverordnung entsprechend. Für Beamte und Beamtinnen, die keinen Dienstvorgesetzten haben, tritt an die Stelle des Dienstvorgesetzten der Dienstherr. Ein zusammenhängender Sonderurlaub von mehr als drei Monaten während einer Amtszeit ist unzulässig.</w:t>
      </w:r>
    </w:p>
    <w:p>
      <w:r>
        <w:t xml:space="preserve">(2) Beamte und Beamtinnen auf Zeit, die sich um das Amt eines berufsmäßigen ersten Bürgermeisters oder einer berufsmäßigen ersten Bürgermeisterin, eines Landrats oder einer Landrätin bewerben, erhalten in entsprechender Anwendung des Art. 41 BayAbgG Wahlvorbereitungsurlaub.</w:t>
      </w:r>
    </w:p>
    <w:p>
      <w:r>
        <w:rPr>
          <w:color w:val="555555"/>
          <w:sz w:val="17"/>
        </w:rPr>
        <w:t xml:space="preserve">Zitiervorschlag: Art 41 KWBG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https://recht.nulegal.eu/gesetze/KWBG/41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