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KWBG (Bayern) — Interessenkollision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oder Beamtinnen dürfen keine Amtshandlungen vornehmen, die ihnen selbst, einem Angehörigen (Art. 20 Abs. 5 BayVwVfG) oder einer von ihnen vertretenen natürlichen oder juristischen Person des Privatrechts einen unmittelbaren Vorteil oder Nachteil verschaffen würden. Gesetzliche Vorschriften, nach denen Beamte oder Beamtinnen von einzelnen Amtshandlungen ausgeschlossen sind, bleiben unberührt.</w:t>
      </w:r>
    </w:p>
    <w:p>
      <w:r>
        <w:t xml:space="preserve">(2) Ein Bürgermeister oder eine Bürgermeisterin einer kreisangehörigen Gemeinde, der oder die zugleich Stellvertreter des Landrats oder der Landrätin ist, darf den Landrat oder die Landrätin bei Amtshandlungen nicht vertreten, die der Gemeinde einen unmittelbaren Vorteil oder Nachteil bringen können.</w:t>
      </w:r>
    </w:p>
    <w:p>
      <w:r>
        <w:rPr>
          <w:color w:val="555555"/>
          <w:sz w:val="17"/>
        </w:rPr>
        <w:t xml:space="preserve">Zitiervorschlag: Art 38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