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30 KWBG (Bayern) — Nebentätigkeit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Nebentätigkeiten von Beamten und Beamtinnen auf Zeit gelten Art. 81 bis 84 BayBG entsprechend; dabei tritt an die Stelle der obersten Dienstbehörde und des Dienstvorgesetzten der Dienstherr. Art. 81 Abs. 3 Satz 5 BayBG gilt mit der Maßgabe, dass die Genehmigung längstens auf die Dauer der laufenden Amtszeit zu befristen ist. Die Anzeigepflicht nach § 41 Satz 1 BeamtStG bezieht sich auf die letzte Amtszeit und endet drei Jahre nach deren Ablauf.</w:t>
      </w:r>
    </w:p>
    <w:p>
      <w:r>
        <w:t xml:space="preserve">(2) Die zur Ausführung des Abs. 1 notwendigen Vorschriften über die Nebentätigkeit der Beamten und der Beamtinnen auf Zeit erlässt das Staatsministerium des Innern, für Sport und Integration durch Rechtsverordnung nach Maßgabe des Art. 85 BayBG.</w:t>
      </w:r>
    </w:p>
    <w:p>
      <w:r>
        <w:rPr>
          <w:color w:val="555555"/>
          <w:sz w:val="17"/>
        </w:rPr>
        <w:t xml:space="preserve">Zitiervorschlag: Art 30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