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26 KWBG (Bayern) — Umbildung von Körperschaften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Werden Gemeinden oder Landkreise umgebildet, so gelten in den nicht von §§ 16 bis 19 BeamtStG erfassten Fällen für die Rechtsstellung der Beamten oder Beamtinnen und der Versorgungsempfänger oder Versorgungsempfängerinnen Art. 51 bis 54 und Art. 69 BayBG entsprechend. Ein Beamter oder eine Beamtin auf Zeit, der oder die in den einstweiligen Ruhestand versetzt worden ist und nicht entsprechend Art. 69 Abs. 1 Satz 4 BayBG als dauernd in den Ruhestand versetzt gilt, ist mit dem Ablauf der Amtszeit, für die er oder sie gewählt ist, entlassen.</w:t>
      </w:r>
    </w:p>
    <w:p>
      <w:r>
        <w:t xml:space="preserve">(2) Wird eine Gemeinde oder ein Landkreis vollständig in eine oder mehrere andere Gebietskörperschaften gleicher Art eingegliedert oder wird eine Gemeinde oder ein Landkreis unter völliger Einbeziehung einer bestehenden Gebietskörperschaft gleicher Art umgebildet, so sind die Ehrenbeamten oder Ehrenbeamtinnen mit dem Tag der Eingliederung oder Umbildung entlassen. Wird eine Entscheidung über eine Eingliederung oder Umbildung angefochten, so tritt die Entlassung am Tag der Unanfechtbarkeit, frühestens jedoch mit dem für die Eingliederung oder Neubildung bestimmten Tag ein. Für Bürgermeister oder Bürgermeisterinnen und deren Hinterbliebene, denen Überbrückungshilfe oder Ehrensold bewilligt worden ist, gilt Art. 54 Abs. 1 BayBG entsprechend; dabei tritt im Fall der Anfechtung an die Stelle des in Art. 51 Abs. 1 BayBG bestimmten Zeitpunkts der in Satz 2 genannte Zeitpunkt.</w:t>
      </w:r>
    </w:p>
    <w:p>
      <w:r>
        <w:t xml:space="preserve">(3) Wird bei einer nach Art. 13 Abs. 1 GO angeordneten Neuwahl der erste Bürgermeister oder die erste Bürgermeisterin einer von einer Gebietsänderung betroffenen fortbestehenden Gemeinde, der Beamter oder Beamtin auf Zeit ist, in dieser Funktion nicht wiedergewählt, tritt er oder sie mit Beginn der Amtszeit des neuen ersten Bürgermeisters oder der neuen ersten Bürgermeisterin für den Rest der Amtszeit in den einstweiligen Ruhestand. Wird bei einer nach Art. 13 Abs. 1 GO angeordneten Neuwahl der ehrenamtliche erste Bürgermeister oder die ehrenamtliche erste Bürgermeisterin der fortbestehenden Gemeinde in dieser Funktion nicht wiedergewählt, ist er oder sie mit Beginn der Amtszeit des neuen ersten Bürgermeisters oder der neuen ersten Bürgermeisterin entlassen.</w:t>
      </w:r>
    </w:p>
    <w:p>
      <w:r>
        <w:rPr>
          <w:color w:val="555555"/>
          <w:sz w:val="17"/>
        </w:rPr>
        <w:t xml:space="preserve">Zitiervorschlag: Art 26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