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20 KWBG (Bayern) — Gnadenerweis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Dem Ministerpräsidenten steht hinsichtlich des Verlusts der Beamtenrechte das Gnadenrecht zu.</w:t>
      </w:r>
    </w:p>
    <w:p>
      <w:r>
        <w:t xml:space="preserve">(2) Wird im Gnadenweg der Verlust der Beamtenrechte in vollem Umfang beseitigt, so gilt ab diesem Zeitpunkt Art. 19 entsprechend.</w:t>
      </w:r>
    </w:p>
    <w:p>
      <w:r>
        <w:t xml:space="preserve">(3) Auf Unterhaltsbeiträge, die im Gnadenweg bewilligt werden, findet Art. 74 Abs. 3 BayDG entsprechende Anwendung, soweit die Gnadenentscheidung nichts anderes bestimmt.</w:t>
      </w:r>
    </w:p>
    <w:p>
      <w:r>
        <w:rPr>
          <w:color w:val="555555"/>
          <w:sz w:val="17"/>
        </w:rPr>
        <w:t xml:space="preserve">Zitiervorschlag: Art 20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