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KWBG (Bayern) — Zuständigkeiten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Zuständigkeiten, die nach dem Beamtenstatusgesetz (BeamtStG) oder nach diesem Gesetz dem Dienstherrn übertragen sind, nimmt das nach den kommunalrechtlichen Vorschriften jeweils zuständige Organ des Dienstherrn wahr.</w:t>
      </w:r>
    </w:p>
    <w:p>
      <w:r>
        <w:t xml:space="preserve">(2) Über die Versagung der Aussagegenehmigung nach § 37 Abs. 4 und 5 BeamtStG entscheidet die für den Dienstherrn zuständige Rechtsaufsichtsbehörde.</w:t>
      </w:r>
    </w:p>
    <w:p>
      <w:r>
        <w:rPr>
          <w:color w:val="555555"/>
          <w:sz w:val="17"/>
        </w:rPr>
        <w:t xml:space="preserve">Zitiervorschlag: Art 2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