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18 KWBG (Bayern) — Rechtsfolgen des Verlusts der Beamtenrechte</w:t>
      </w:r>
    </w:p>
    <w:p>
      <w:r>
        <w:rPr>
          <w:color w:val="555555"/>
          <w:sz w:val="18"/>
        </w:rPr>
        <w:t xml:space="preserve">Kommunal-Wahlbeamten-Gesetz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Endet das Beamtenverhältnis nach § 24 BeamtStG, so hat der frühere Beamte oder die frühere Beamtin keinen Anspruch auf Leistungen des Dienstherrn, soweit gesetzlich nichts anderes bestimmt ist. Das Führen einer früheren Amtsbezeichnung nach Art. 29 Abs. 3 ist ausgeschlossen, die Ehrenbezeichnung nach Art. 29 Abs. 4 darf nicht geführt, ein Ehrensold darf nicht gezahlt werden.</w:t>
      </w:r>
    </w:p>
    <w:p>
      <w:r>
        <w:rPr>
          <w:color w:val="555555"/>
          <w:sz w:val="17"/>
        </w:rPr>
        <w:t xml:space="preserve">Zitiervorschlag: Art 18 KWBG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18 KWBG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