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17 KWBG (Bayern) — Rechtsfolgen der Entlassung, Wiederwahlverpflichtung für berufsmäßige Gemeinderatsmitglieder</w:t>
      </w:r>
    </w:p>
    <w:p>
      <w:r>
        <w:rPr>
          <w:color w:val="555555"/>
          <w:sz w:val="18"/>
        </w:rPr>
        <w:t xml:space="preserve">Kommunal-Wahlbeamten-Gesetz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Nach der Entlassung haben frühere Beamte oder Beamtinnen keinen Anspruch auf Leistungen des Dienstherrn, soweit gesetzlich nichts anderes bestimmt ist. Sie dürfen die frühere Amtsbezeichnung oder die Ehrenbezeichnung nur führen, wenn ihnen die Erlaubnis nach Art. 29 Abs. 3 oder 4 erteilt ist.</w:t>
      </w:r>
    </w:p>
    <w:p>
      <w:r>
        <w:t xml:space="preserve">(2) Soweit gesetzlich nichts anderes bestimmt ist, ist ein berufsmäßiges Gemeinderatsmitglied verpflichtet, nach dem Ende der Amtszeit das Amt erneut zu übernehmen, wenn das Gemeinderatsmitglied unter mindestens gleich günstigen Bedingungen für wenigstens die gleiche Zeit wieder ernannt werden soll und das 62. Lebensjahr noch nicht vollendet hat.</w:t>
      </w:r>
    </w:p>
    <w:p>
      <w:r>
        <w:rPr>
          <w:color w:val="555555"/>
          <w:sz w:val="17"/>
        </w:rPr>
        <w:t xml:space="preserve">Zitiervorschlag: Art 17 KWBG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https://recht.nulegal.eu/gesetze/KWBG/17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17 KWBG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