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KWBG (Bayern) — Begründung und Dauer des Beamtenverhältnisses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zum berufsmäßigen Gemeinderatsmitglied gewählt ist und die Wahl angenommen hat, ist zum Beamten auf Zeit oder zur Beamtin auf Zeit zu ernennen.</w:t>
      </w:r>
    </w:p>
    <w:p>
      <w:r>
        <w:t xml:space="preserve">(2) Die Ernennung wird mit dem Tag der Aushändigung der Ernennungsurkunde wirksam, wenn nicht in der Urkunde ausdrücklich ein späterer Tag bestimmt ist. Art. 10 gilt entsprechend.</w:t>
      </w:r>
    </w:p>
    <w:p>
      <w:r>
        <w:t xml:space="preserve">(3) Ist die Zeitdauer der Berufung nicht angegeben, so endet das Beamtenverhältnis sechs Jahre nach der Ernennung; das Gleiche gilt, wenn ein längerer Zeitraum als sechs Jahre angegeben ist.</w:t>
      </w:r>
    </w:p>
    <w:p>
      <w:r>
        <w:rPr>
          <w:color w:val="555555"/>
          <w:sz w:val="17"/>
        </w:rPr>
        <w:t xml:space="preserve">Zitiervorschlag: Art 13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