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KWBG (Bayern) — Voraussetzungen für die Begründung des Beamtenverhältnisses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Bewerber und Bewerberinnen für das Amt eines berufsmäßigen Gemeinderatsmitglieds sind durch Stellenausschreibung zu ermitteln, wenn es im besonderen dienstlichen Interesse liegt.</w:t>
      </w:r>
    </w:p>
    <w:p>
      <w:r>
        <w:t xml:space="preserve">(2) In das Amt eines berufsmäßigen Gemeinderatsmitglieds kann nur berufen werden, wer zum berufsmäßigen ersten Bürgermeister oder zur berufsmäßigen ersten Bürgermeisterin wählbar ist und</w:t>
      </w:r>
    </w:p>
    <w:p>
      <w:r>
        <w:t xml:space="preserve">1. die laufbahnrechtliche Qualifikation besitzt, die seinem künftigen Aufgabengebiet entspricht, oder</w:t>
      </w:r>
    </w:p>
    <w:p>
      <w:r>
        <w:t xml:space="preserve">2. mindestens drei Jahre dem künftigen Aufgabengebiet entsprechend in verantwortlicher Stellung tätig gewesen ist.</w:t>
      </w:r>
    </w:p>
    <w:p>
      <w:r>
        <w:rPr>
          <w:color w:val="555555"/>
          <w:sz w:val="17"/>
        </w:rPr>
        <w:t xml:space="preserve">Zitiervorschlag: Art 12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