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KWBG (Bayern) — Erlöschen eines Arbeitsverhältnisses beim bisherigen Dienstherrn, Doppeldienstverhältnis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Mit dem Beginn der Amtszeit als Beamter oder als Beamtin auf Zeit erlischt ein privatrechtliches Arbeitsverhältnis zum selben Dienstherrn.</w:t>
      </w:r>
    </w:p>
    <w:p>
      <w:r>
        <w:t xml:space="preserve">(2) Ein Beamter oder eine Beamtin auf Zeit kann nicht gleichzeitig Ehrenbeamter oder Ehrenbeamtin bei demselben Dienstherrn werden.</w:t>
      </w:r>
    </w:p>
    <w:p>
      <w:r>
        <w:rPr>
          <w:color w:val="555555"/>
          <w:sz w:val="17"/>
        </w:rPr>
        <w:t xml:space="preserve">Zitiervorschlag: Art 10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