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KWBG (Bayern) — Geltungsbereich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regelt die Rechtsverhältnisse der kommunalen Wahlbeamten und Wahlbeamtinnen.</w:t>
      </w:r>
    </w:p>
    <w:p>
      <w:r>
        <w:t xml:space="preserve">(2) Kommunale Wahlbeamte und Wahlbeamtinnen nach diesem Gesetz sind</w:t>
      </w:r>
    </w:p>
    <w:p>
      <w:r>
        <w:t xml:space="preserve">1. die ersten Bürgermeister und Bürgermeisterinnen und die weiteren Bürgermeister und Bürgermeisterinnen,</w:t>
      </w:r>
    </w:p>
    <w:p>
      <w:r>
        <w:t xml:space="preserve">2. die Landräte und Landrätinnen und deren gewählte Stellvertreter,</w:t>
      </w:r>
    </w:p>
    <w:p>
      <w:r>
        <w:t xml:space="preserve">3. die Bezirkstagspräsidenten und Bezirkstagspräsidentinnen und deren gewählte Stellvertreter,</w:t>
      </w:r>
    </w:p>
    <w:p>
      <w:r>
        <w:t xml:space="preserve">4. die berufsmäßigen Gemeinderatsmitglieder.</w:t>
      </w:r>
    </w:p>
    <w:p>
      <w:r>
        <w:t xml:space="preserve">(3) Kommunale Wahlbeamte und Wahlbeamtinnen sind Beamte und Beamtinnen auf Zeit oder Ehrenbeamte und Ehrenbeamtinnen. Die Art des Beamtenverhältnisses bestimmt sich nach den kommunalrechtlichen Vorschriften, soweit dieses Gesetz nichts anderes regelt.</w:t>
      </w:r>
    </w:p>
    <w:p>
      <w:r>
        <w:rPr>
          <w:color w:val="555555"/>
          <w:sz w:val="17"/>
        </w:rPr>
        <w:t xml:space="preserve">Zitiervorschlag: Art 1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