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KWB-NV (Bayern) — Inkrafttreten</w:t>
      </w:r>
    </w:p>
    <w:p>
      <w:r>
        <w:rPr>
          <w:color w:val="555555"/>
          <w:sz w:val="18"/>
        </w:rPr>
        <w:t xml:space="preserve">Kommunale Wahlbeamten-Nebentätigkeitsverordnung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September 2012 in Kraft.</w:t>
      </w:r>
    </w:p>
    <w:p>
      <w:r>
        <w:t xml:space="preserve">(2) Abweichend von Abs. 1 tritt § 3 Abs. 1 für bei der Anstalt für Kommunale Datenverarbeitung in Bayern ausgeübte Tätigkeiten mit Wirkung vom 1. August 2006 in Kraft.</w:t>
      </w:r>
    </w:p>
    <w:p>
      <w:r>
        <w:rPr>
          <w:color w:val="555555"/>
          <w:sz w:val="17"/>
        </w:rPr>
        <w:t xml:space="preserve">Zitiervorschlag: § 4 KWB-NV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https://recht.nulegal.eu/gesetze/KWB-NV/4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