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KWB-NV (Bayern) — Geltungsbereich</w:t>
      </w:r>
    </w:p>
    <w:p>
      <w:r>
        <w:rPr>
          <w:color w:val="555555"/>
          <w:sz w:val="18"/>
        </w:rPr>
        <w:t xml:space="preserve">Kommunale Wahlbeamten-Nebentätigkeitsverordnung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gilt für kommunale Wahlbeamte und Wahlbeamtinnen, die Beamte oder Beamtinnen auf Zeit sind.</w:t>
      </w:r>
    </w:p>
    <w:p>
      <w:r>
        <w:rPr>
          <w:color w:val="555555"/>
          <w:sz w:val="17"/>
        </w:rPr>
        <w:t xml:space="preserve">Zitiervorschlag: § 1 KWB-NV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https://recht.nulegal.eu/gesetze/KWB-NV/1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