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KVz (Bayern)</w:t>
      </w:r>
    </w:p>
    <w:p>
      <w:r>
        <w:rPr>
          <w:color w:val="555555"/>
          <w:sz w:val="18"/>
        </w:rPr>
        <w:t xml:space="preserve">Kostenverzeichnis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2002 in Kraft. Die Verordnung über den Erlass des Kostenverzeichnisses zum Kostengesetz (Kostenverzeichnis – KVz) vom 18. Juli 1995 (GVBl S. 454, BayRS 2013-1-2-F), zuletzt geändert durch Verordnung vom 25. Juli 2001 (GVBl S. 406), tritt mit Ablauf des 31. Dezember 2001 außer Kraft.</w:t>
      </w:r>
    </w:p>
    <w:p>
      <w:r>
        <w:rPr>
          <w:color w:val="555555"/>
          <w:sz w:val="17"/>
        </w:rPr>
        <w:t xml:space="preserve">Zitiervorschlag: § 2 KVz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https://recht.nulegal.eu/gesetze/KVz/2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