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EV KVermG — Auszug aus EinigVtr Anlage II Kapitel IV Abschnitt III (BGBl. II 1990, 889, 1199)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Abschnitt III Folgendes Recht der Deutschen Demokratischen Republik bleibt mit folgenden Maßgaben in Kraft: ...</w:t>
      </w:r>
    </w:p>
    <w:p>
      <w:pPr>
        <w:ind w:left="420"/>
      </w:pPr>
      <w:r>
        <w:t xml:space="preserve">2. Das Gesetz vom 6. Juli 1990 über das Vermögen der Gemeinden, Städte und Landkreise - Kommunalvermögensgesetz - (GBl. I Nr. 42 S. 660)mit folgender Maßgabe:</w:t>
      </w:r>
    </w:p>
    <w:p>
      <w:pPr>
        <w:ind w:left="780"/>
      </w:pPr>
      <w:r>
        <w:t xml:space="preserve">a) Den Gemeinden, Städten und Landkreisen ist nur das ihren Verwaltungsaufgaben unmittelbar dienende Vermögen (Verwaltungsvermögen) und das sonstige Vermögen (Finanzvermögen) in Übereinstimmung mit Artikel 10 Abs. 6 und Artikel 26 Abs. 4 des Vertrages vom 18. Mai 1990 über die Schaffung einer Währungs-, Wirtschafts- und Sozialunion (BGBl. 1990 II S. 518) sowie den Artikeln 21 und 22 des Einigungsvertrages zu übertragen.</w:t>
      </w:r>
    </w:p>
    <w:p>
      <w:pPr>
        <w:ind w:left="780"/>
      </w:pPr>
      <w:r>
        <w:t xml:space="preserve">b) ... (Änderungsvorschrift)</w:t>
      </w:r>
    </w:p>
    <w:p>
      <w:r>
        <w:t xml:space="preserve">...</w:t>
      </w:r>
    </w:p>
    <w:p>
      <w:r>
        <w:rPr>
          <w:color w:val="555555"/>
          <w:sz w:val="17"/>
        </w:rPr>
        <w:t xml:space="preserve">Zitiervorschlag: Anhang EV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https://recht.nulegal.eu/gesetze/KVermG/anhang-ev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