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KVermG — Nutzung des kommunalen Vermögens</w:t>
      </w:r>
    </w:p>
    <w:p>
      <w:r>
        <w:rPr>
          <w:color w:val="555555"/>
          <w:sz w:val="18"/>
        </w:rPr>
        <w:t xml:space="preserve">Kommunalvermögensgesetz</w:t>
      </w:r>
    </w:p>
    <w:p>
      <w:r>
        <w:rPr>
          <w:color w:val="555555"/>
          <w:sz w:val="18"/>
        </w:rPr>
        <w:t xml:space="preserve">Stand: 10.06.2019 (konsolidierte Textfassung, kein amtliches Inkrafttretensdatum)</w:t>
      </w:r>
    </w:p>
    <w:p>
      <w:r>
        <w:t xml:space="preserve">(1) Über kommunales Vermögen kann im Rahmen der Gesetze uneingeschränkt verfügt werden. Die Nutzung des kommunalen Vermögens hat grundsätzlich so zu erfolgen, daß seine rentable Verwertung, ein wirksamer kommunaler Einfluß und die Finanzkontrolle durch die Kommunen gesichert sowie der öffentliche Zweck beachtet werden. In den Gemeinden, Städten und Kreisen sind Konzeptionen zu erarbeiten, wie übernommene Betriebe, die nicht in Übereinstimmung mit diesen Grundsätzen geführt werden können oder die Leistungsfähigkeit der Kommunen überschreiten, unter Sicherung des Vermögens der Kommunen privatisiert werden.</w:t>
      </w:r>
    </w:p>
    <w:p>
      <w:r>
        <w:t xml:space="preserve">(2) Kommunale Betriebe und Einrichtungen können auf der Grundlage der §§ 57 bis 62 des Gesetzes über die Selbstverwaltung der Gemeinden und Landkreise in der DDR als Eigengesellschaften oder Eigenbetriebe geführt werden. Gemeinden, Städte und Kreise können kommunale Betriebe in Form rechtlich selbständiger Unternehmen auch als Beteiligungs- oder Gemeinnützige Gesellschaften organisieren. Kommunales Eigentum kann in kommunale Verwaltungsgemeinschaften, Zweckverbände oder Kreisverbände eingebracht werden.</w:t>
      </w:r>
    </w:p>
    <w:p>
      <w:r>
        <w:rPr>
          <w:color w:val="555555"/>
          <w:sz w:val="17"/>
        </w:rPr>
        <w:t xml:space="preserve">Zitiervorschlag: § 5 KVermG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https://recht.nulegal.eu/gesetze/KVermG/5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