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KVermG — Sonderregelungen</w:t>
      </w:r>
    </w:p>
    <w:p>
      <w:r>
        <w:rPr>
          <w:color w:val="555555"/>
          <w:sz w:val="18"/>
        </w:rPr>
        <w:t xml:space="preserve">Kommunalvermögensgesetz</w:t>
      </w:r>
    </w:p>
    <w:p>
      <w:r>
        <w:rPr>
          <w:color w:val="555555"/>
          <w:sz w:val="18"/>
        </w:rPr>
        <w:t xml:space="preserve">Stand: 10.06.2019 (konsolidierte Textfassung, kein amtliches Inkrafttretensdatum)</w:t>
      </w:r>
    </w:p>
    <w:p>
      <w:r>
        <w:t xml:space="preserve">(1) Die auf der Grundlage des Beschlusses des Präsidiums des Ministerrates vom 9. Februar 1972 und damit im Zusammenhang stehender Regelungen in Volkseigentum überführten Betriebe und Einrichtungen, die kommunalen Aufgaben und Dienstleistungen dienen, sind nicht in das Vermögen der Gemeinden, Städte und Landkreise zu übertragen, wenn durch die ehemaligen privaten Gesellschafter oder Inhaber oder deren Erben ein entsprechender Übernahmeantrag gestellt wurde.</w:t>
      </w:r>
    </w:p>
    <w:p>
      <w:r>
        <w:t xml:space="preserve">(2) Sofern Betriebe und Einrichtungen, die nach den Grundsätzen dieses Gesetzes in kommunales Eigentum überführt werden müssen, bereits in Kapitalgesellschaften umgewandelt worden sind, gehen die entsprechenden ehemals volkseigenen Anteile in das Eigentum der Gemeinden und Städte über. Soweit die Summe der Beteiligungen der Gemeinden, Städte und Landkreise 49 vom Hundert des Kapitals einer Kapitalgesellschaft für die Versorgung mit leitungsgebundenen Energien überschreiten würde, werden diese Beteiligungen anteilig auf diesen Anteil gekürzt.</w:t>
      </w:r>
    </w:p>
    <w:p>
      <w:r>
        <w:rPr>
          <w:color w:val="555555"/>
          <w:sz w:val="17"/>
        </w:rPr>
        <w:t xml:space="preserve">Zitiervorschlag: § 4 KVermG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https://recht.nulegal.eu/gesetze/KVermG/4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