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KVWG</w:t>
      </w:r>
    </w:p>
    <w:p>
      <w:r>
        <w:rPr>
          <w:color w:val="555555"/>
          <w:sz w:val="18"/>
        </w:rPr>
        <w:t xml:space="preserve">Krankenversicherungs-Weiterentwicklungsgesetz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Ersten des auf seine Verkündung folgenden Kalendervierteljahres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9 KVWG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https://recht.nulegal.eu/gesetze/KVWG/9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