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KVStGleichstV</w:t>
      </w:r>
    </w:p>
    <w:p>
      <w:r>
        <w:rPr>
          <w:color w:val="555555"/>
          <w:sz w:val="18"/>
        </w:rPr>
        <w:t xml:space="preserve">Verordnung über die kapitalverkehrsteuerliche Gleichstellung der Europäischen Gemeinschaft für Kohle und Stahl, der Europäischen Atomgemeinschaft und der Europäischen Investitionsbank mit dem Bund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Artikel 6 des Gesetzes zur Änderung verkehrsteuerrechtlicher Vorschriften vom 25. Mai 1959 (Bundesgesetzbl. I S. 261) auch im Land Berlin.</w:t>
      </w:r>
    </w:p>
    <w:p>
      <w:r>
        <w:rPr>
          <w:color w:val="555555"/>
          <w:sz w:val="17"/>
        </w:rPr>
        <w:t xml:space="preserve">Zitiervorschlag: § 2 KVStGleichstV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https://recht.nulegal.eu/gesetze/KVStGleichstV/2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